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95D4B" w14:textId="18E12765" w:rsidR="00B270EC" w:rsidRPr="007341A2" w:rsidRDefault="00B270EC" w:rsidP="00B270EC">
      <w:pPr>
        <w:pStyle w:val="3GPPHeader"/>
        <w:tabs>
          <w:tab w:val="clear" w:pos="9639"/>
          <w:tab w:val="right" w:pos="10206"/>
        </w:tabs>
        <w:spacing w:after="0"/>
        <w:rPr>
          <w:highlight w:val="yellow"/>
        </w:rPr>
      </w:pPr>
      <w:bookmarkStart w:id="0" w:name="OLE_LINK1"/>
      <w:bookmarkStart w:id="1" w:name="OLE_LINK2"/>
      <w:r w:rsidRPr="000C5D3E">
        <w:rPr>
          <w:sz w:val="22"/>
          <w:lang w:val="en-US"/>
        </w:rPr>
        <w:t>3GPP TSG RAN WG1 Meeting #92bis</w:t>
      </w:r>
      <w:r w:rsidRPr="00CE0424">
        <w:tab/>
      </w:r>
      <w:r>
        <w:t xml:space="preserve">   </w:t>
      </w:r>
      <w:r w:rsidR="00450F97">
        <w:t>R1-1804633</w:t>
      </w:r>
    </w:p>
    <w:p w14:paraId="343AB265" w14:textId="61ECCE07" w:rsidR="005F6E84" w:rsidRPr="00FA69B6" w:rsidRDefault="00B270EC" w:rsidP="00B270EC">
      <w:pPr>
        <w:pStyle w:val="3GPPHeader"/>
        <w:rPr>
          <w:rFonts w:eastAsia="MS Mincho" w:cs="Arial"/>
          <w:bCs/>
          <w:noProof/>
          <w:szCs w:val="24"/>
          <w:lang w:eastAsia="ja-JP"/>
        </w:rPr>
      </w:pPr>
      <w:r w:rsidRPr="002E2A5B">
        <w:rPr>
          <w:sz w:val="22"/>
          <w:lang w:val="en-US"/>
        </w:rPr>
        <w:t>Sanya, China, April 16th – 20th, 2018</w:t>
      </w: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542FAB56" w:rsidR="00005DBD" w:rsidRPr="00654255" w:rsidRDefault="00005DBD" w:rsidP="00005DBD">
      <w:pPr>
        <w:pStyle w:val="TdocHeader2"/>
        <w:jc w:val="left"/>
        <w:rPr>
          <w:sz w:val="22"/>
          <w:szCs w:val="22"/>
          <w:lang w:val="en-US"/>
        </w:rPr>
      </w:pPr>
      <w:r w:rsidRPr="001E25A7">
        <w:rPr>
          <w:sz w:val="22"/>
          <w:szCs w:val="22"/>
          <w:lang w:val="en-US"/>
        </w:rPr>
        <w:t>Title:</w:t>
      </w:r>
      <w:bookmarkStart w:id="2" w:name="Title"/>
      <w:bookmarkEnd w:id="2"/>
      <w:r w:rsidRPr="001E25A7">
        <w:rPr>
          <w:sz w:val="22"/>
          <w:szCs w:val="22"/>
          <w:lang w:val="en-US"/>
        </w:rPr>
        <w:tab/>
      </w:r>
      <w:r w:rsidR="00C4333D">
        <w:rPr>
          <w:sz w:val="22"/>
          <w:szCs w:val="22"/>
          <w:lang w:val="en-US"/>
        </w:rPr>
        <w:t>Transmit diversity solutions for Rel-15 PSCCH and PSSCH transmissions</w:t>
      </w:r>
    </w:p>
    <w:p w14:paraId="39122C3D" w14:textId="68610C7F" w:rsidR="007736B9" w:rsidRPr="00C844BE" w:rsidRDefault="007736B9" w:rsidP="007736B9">
      <w:pPr>
        <w:pStyle w:val="TdocHeader2"/>
        <w:jc w:val="left"/>
        <w:rPr>
          <w:sz w:val="22"/>
          <w:szCs w:val="22"/>
          <w:lang w:val="en-US"/>
        </w:rPr>
      </w:pPr>
      <w:bookmarkStart w:id="3" w:name="_Ref477771975"/>
      <w:bookmarkEnd w:id="0"/>
      <w:bookmarkEnd w:id="1"/>
      <w:r w:rsidRPr="00C844BE">
        <w:rPr>
          <w:sz w:val="22"/>
          <w:szCs w:val="22"/>
          <w:lang w:val="en-US"/>
        </w:rPr>
        <w:t>Agenda Item:</w:t>
      </w:r>
      <w:r w:rsidRPr="00C844BE">
        <w:rPr>
          <w:sz w:val="22"/>
          <w:szCs w:val="22"/>
          <w:lang w:val="en-US"/>
        </w:rPr>
        <w:tab/>
      </w:r>
      <w:r w:rsidR="00325C81" w:rsidRPr="00C3081F">
        <w:rPr>
          <w:sz w:val="22"/>
          <w:szCs w:val="22"/>
          <w:lang w:val="en-US"/>
        </w:rPr>
        <w:t>6</w:t>
      </w:r>
      <w:r w:rsidR="005F6E84" w:rsidRPr="00C3081F">
        <w:rPr>
          <w:sz w:val="22"/>
          <w:szCs w:val="22"/>
          <w:lang w:val="en-US"/>
        </w:rPr>
        <w:t>.2.</w:t>
      </w:r>
      <w:r w:rsidR="00B270EC">
        <w:rPr>
          <w:sz w:val="22"/>
          <w:szCs w:val="22"/>
          <w:lang w:val="en-US"/>
        </w:rPr>
        <w:t>5</w:t>
      </w:r>
      <w:r w:rsidR="005F6E84" w:rsidRPr="00C3081F">
        <w:rPr>
          <w:sz w:val="22"/>
          <w:szCs w:val="22"/>
          <w:lang w:val="en-US"/>
        </w:rPr>
        <w:t>.3.1</w:t>
      </w:r>
      <w:r w:rsidR="005F6E84">
        <w:t xml:space="preserve"> </w:t>
      </w:r>
    </w:p>
    <w:p w14:paraId="0937EC4A" w14:textId="77777777" w:rsidR="007736B9" w:rsidRPr="001E25A7" w:rsidRDefault="007736B9" w:rsidP="007736B9">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p w14:paraId="275415A3" w14:textId="77777777" w:rsidR="00D77223" w:rsidRDefault="00D77223" w:rsidP="008A63F4">
      <w:pPr>
        <w:pStyle w:val="Heading1"/>
      </w:pPr>
      <w:r w:rsidRPr="007F1723">
        <w:t>Introduction</w:t>
      </w:r>
      <w:bookmarkEnd w:id="3"/>
    </w:p>
    <w:p w14:paraId="73BA8DC2" w14:textId="0E6200FA" w:rsidR="004F6116" w:rsidRPr="00941D99" w:rsidRDefault="004F6116" w:rsidP="004F6116">
      <w:pPr>
        <w:pStyle w:val="BodyText"/>
        <w:spacing w:after="240"/>
        <w:jc w:val="both"/>
        <w:rPr>
          <w:sz w:val="20"/>
          <w:szCs w:val="20"/>
        </w:rPr>
      </w:pPr>
      <w:r w:rsidRPr="00C70D8A">
        <w:rPr>
          <w:sz w:val="20"/>
          <w:szCs w:val="20"/>
        </w:rPr>
        <w:t xml:space="preserve">RAN </w:t>
      </w:r>
      <w:r>
        <w:rPr>
          <w:sz w:val="20"/>
          <w:szCs w:val="20"/>
        </w:rPr>
        <w:t xml:space="preserve">plenary </w:t>
      </w:r>
      <w:r w:rsidRPr="00C70D8A">
        <w:rPr>
          <w:sz w:val="20"/>
          <w:szCs w:val="20"/>
        </w:rPr>
        <w:t>#</w:t>
      </w:r>
      <w:r>
        <w:rPr>
          <w:sz w:val="20"/>
          <w:szCs w:val="20"/>
        </w:rPr>
        <w:t>75</w:t>
      </w:r>
      <w:r w:rsidRPr="00C70D8A">
        <w:rPr>
          <w:sz w:val="20"/>
          <w:szCs w:val="20"/>
        </w:rPr>
        <w:t xml:space="preserve"> </w:t>
      </w:r>
      <w:r>
        <w:rPr>
          <w:sz w:val="20"/>
          <w:szCs w:val="20"/>
        </w:rPr>
        <w:t xml:space="preserve">approved a work item </w:t>
      </w:r>
      <w:r w:rsidR="00467871">
        <w:rPr>
          <w:sz w:val="20"/>
          <w:szCs w:val="20"/>
        </w:rPr>
        <w:fldChar w:fldCharType="begin"/>
      </w:r>
      <w:r w:rsidR="00467871">
        <w:rPr>
          <w:sz w:val="20"/>
          <w:szCs w:val="20"/>
        </w:rPr>
        <w:instrText xml:space="preserve"> REF _Ref494462036 \r \h </w:instrText>
      </w:r>
      <w:r w:rsidR="00467871">
        <w:rPr>
          <w:sz w:val="20"/>
          <w:szCs w:val="20"/>
        </w:rPr>
      </w:r>
      <w:r w:rsidR="00467871">
        <w:rPr>
          <w:sz w:val="20"/>
          <w:szCs w:val="20"/>
        </w:rPr>
        <w:fldChar w:fldCharType="separate"/>
      </w:r>
      <w:r w:rsidR="007D58D3">
        <w:rPr>
          <w:sz w:val="20"/>
          <w:szCs w:val="20"/>
        </w:rPr>
        <w:t>[1]</w:t>
      </w:r>
      <w:r w:rsidR="00467871">
        <w:rPr>
          <w:sz w:val="20"/>
          <w:szCs w:val="20"/>
        </w:rPr>
        <w:fldChar w:fldCharType="end"/>
      </w:r>
      <w:r>
        <w:rPr>
          <w:sz w:val="20"/>
          <w:szCs w:val="20"/>
        </w:rPr>
        <w:t xml:space="preserve"> for </w:t>
      </w:r>
      <w:r w:rsidRPr="00941D99">
        <w:rPr>
          <w:rFonts w:hint="eastAsia"/>
          <w:sz w:val="20"/>
          <w:szCs w:val="20"/>
        </w:rPr>
        <w:t>3GPP</w:t>
      </w:r>
      <w:r w:rsidRPr="00941D99">
        <w:rPr>
          <w:sz w:val="20"/>
          <w:szCs w:val="20"/>
        </w:rPr>
        <w:t xml:space="preserve"> V2X Phase 2 to support advanced V2X services</w:t>
      </w:r>
      <w:r w:rsidRPr="00941D99">
        <w:rPr>
          <w:rFonts w:hint="eastAsia"/>
          <w:sz w:val="20"/>
          <w:szCs w:val="20"/>
        </w:rPr>
        <w:t xml:space="preserve"> as identified in SA1 TR 22.886.</w:t>
      </w:r>
      <w:r>
        <w:rPr>
          <w:sz w:val="20"/>
          <w:szCs w:val="20"/>
        </w:rPr>
        <w:t xml:space="preserve"> The following topic is a part of the </w:t>
      </w:r>
      <w:r w:rsidRPr="00941D99">
        <w:rPr>
          <w:sz w:val="20"/>
          <w:szCs w:val="20"/>
        </w:rPr>
        <w:t xml:space="preserve">detailed objectives </w:t>
      </w:r>
      <w:r w:rsidRPr="00941D99">
        <w:rPr>
          <w:rFonts w:hint="eastAsia"/>
          <w:sz w:val="20"/>
          <w:szCs w:val="20"/>
        </w:rPr>
        <w:t>of this work item</w:t>
      </w:r>
      <w:r w:rsidRPr="00941D99">
        <w:rPr>
          <w:sz w:val="20"/>
          <w:szCs w:val="20"/>
        </w:rPr>
        <w:t>:</w:t>
      </w:r>
    </w:p>
    <w:p w14:paraId="76EF5B23" w14:textId="5CF60D53" w:rsidR="004F6116" w:rsidRDefault="004F6116" w:rsidP="00CC2D84">
      <w:pPr>
        <w:pStyle w:val="ListParagraph"/>
        <w:numPr>
          <w:ilvl w:val="0"/>
          <w:numId w:val="11"/>
        </w:numPr>
        <w:overflowPunct w:val="0"/>
        <w:autoSpaceDE w:val="0"/>
        <w:autoSpaceDN w:val="0"/>
        <w:jc w:val="both"/>
        <w:rPr>
          <w:rFonts w:ascii="Times New Roman" w:hAnsi="Times New Roman" w:cs="Times New Roman"/>
          <w:i/>
          <w:sz w:val="20"/>
          <w:szCs w:val="20"/>
          <w:lang w:eastAsia="en-US"/>
        </w:rPr>
      </w:pPr>
      <w:r w:rsidRPr="002A3D45">
        <w:rPr>
          <w:rFonts w:ascii="Times New Roman" w:hAnsi="Times New Roman" w:cs="Times New Roman" w:hint="eastAsia"/>
          <w:i/>
          <w:sz w:val="20"/>
          <w:szCs w:val="20"/>
          <w:lang w:eastAsia="en-US"/>
        </w:rPr>
        <w:t>Study the</w:t>
      </w:r>
      <w:r w:rsidRPr="002A3D45">
        <w:rPr>
          <w:rFonts w:ascii="Times New Roman" w:hAnsi="Times New Roman" w:cs="Times New Roman"/>
          <w:i/>
          <w:sz w:val="20"/>
          <w:szCs w:val="20"/>
          <w:lang w:eastAsia="en-US"/>
        </w:rPr>
        <w:t xml:space="preserve"> feasibility and gain of </w:t>
      </w:r>
      <w:r w:rsidRPr="002A3D45">
        <w:rPr>
          <w:rFonts w:ascii="Times New Roman" w:hAnsi="Times New Roman" w:cs="Times New Roman" w:hint="eastAsia"/>
          <w:i/>
          <w:sz w:val="20"/>
          <w:szCs w:val="20"/>
          <w:lang w:eastAsia="en-US"/>
        </w:rPr>
        <w:t>PC5 operation with Transmit</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D</w:t>
      </w:r>
      <w:r w:rsidRPr="002A3D45">
        <w:rPr>
          <w:rFonts w:ascii="Times New Roman" w:hAnsi="Times New Roman" w:cs="Times New Roman"/>
          <w:i/>
          <w:sz w:val="20"/>
          <w:szCs w:val="20"/>
          <w:lang w:eastAsia="en-US"/>
        </w:rPr>
        <w:t>iversity</w:t>
      </w:r>
      <w:r w:rsidRPr="002A3D45">
        <w:rPr>
          <w:rFonts w:ascii="Times New Roman" w:hAnsi="Times New Roman" w:cs="Times New Roman" w:hint="eastAsia"/>
          <w:i/>
          <w:sz w:val="20"/>
          <w:szCs w:val="20"/>
          <w:lang w:eastAsia="en-US"/>
        </w:rPr>
        <w:t>,</w:t>
      </w:r>
      <w:r w:rsidRPr="002A3D45">
        <w:rPr>
          <w:rFonts w:ascii="Times New Roman" w:hAnsi="Times New Roman" w:cs="Times New Roman"/>
          <w:i/>
          <w:sz w:val="20"/>
          <w:szCs w:val="20"/>
          <w:lang w:eastAsia="en-US"/>
        </w:rPr>
        <w:t xml:space="preserve"> assuming </w:t>
      </w:r>
      <w:r w:rsidRPr="002A3D45">
        <w:rPr>
          <w:rFonts w:ascii="Times New Roman" w:hAnsi="Times New Roman" w:cs="Times New Roman" w:hint="eastAsia"/>
          <w:i/>
          <w:sz w:val="20"/>
          <w:szCs w:val="20"/>
          <w:lang w:eastAsia="en-US"/>
        </w:rPr>
        <w:t xml:space="preserve">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w:t>
      </w:r>
      <w:r w:rsidRPr="002A3D45">
        <w:rPr>
          <w:rFonts w:ascii="Times New Roman" w:hAnsi="Times New Roman" w:cs="Times New Roman"/>
          <w:i/>
          <w:sz w:val="20"/>
          <w:szCs w:val="20"/>
          <w:lang w:eastAsia="en-US"/>
        </w:rPr>
        <w:t xml:space="preserve"> would co-exist in the same resource pools as Rel-14 functionality</w:t>
      </w:r>
      <w:r w:rsidRPr="002A3D45">
        <w:rPr>
          <w:rFonts w:ascii="Times New Roman" w:hAnsi="Times New Roman" w:cs="Times New Roman" w:hint="eastAsia"/>
          <w:i/>
          <w:sz w:val="20"/>
          <w:szCs w:val="20"/>
          <w:lang w:eastAsia="en-US"/>
        </w:rPr>
        <w:t xml:space="preserve"> and </w:t>
      </w:r>
      <w:r w:rsidRPr="002A3D45">
        <w:rPr>
          <w:rFonts w:ascii="Times New Roman" w:hAnsi="Times New Roman" w:cs="Times New Roman"/>
          <w:i/>
          <w:sz w:val="20"/>
          <w:szCs w:val="20"/>
          <w:lang w:eastAsia="en-US"/>
        </w:rPr>
        <w:t>us</w:t>
      </w:r>
      <w:r w:rsidRPr="002A3D45">
        <w:rPr>
          <w:rFonts w:ascii="Times New Roman" w:hAnsi="Times New Roman" w:cs="Times New Roman" w:hint="eastAsia"/>
          <w:i/>
          <w:sz w:val="20"/>
          <w:szCs w:val="20"/>
          <w:lang w:eastAsia="en-US"/>
        </w:rPr>
        <w:t>e</w:t>
      </w:r>
      <w:r w:rsidRPr="002A3D45">
        <w:rPr>
          <w:rFonts w:ascii="Times New Roman" w:hAnsi="Times New Roman" w:cs="Times New Roman"/>
          <w:i/>
          <w:sz w:val="20"/>
          <w:szCs w:val="20"/>
          <w:lang w:eastAsia="en-US"/>
        </w:rPr>
        <w:t xml:space="preserve"> the same scheduling assignment format</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which can be decoded by Rel-14 UEs</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without causing significant degradation to Rel-14 PC5 operation</w:t>
      </w:r>
      <w:r w:rsidRPr="002A3D45">
        <w:rPr>
          <w:rFonts w:ascii="Times New Roman" w:hAnsi="Times New Roman" w:cs="Times New Roman" w:hint="eastAsia"/>
          <w:i/>
          <w:sz w:val="20"/>
          <w:szCs w:val="20"/>
          <w:lang w:eastAsia="en-US"/>
        </w:rPr>
        <w:t xml:space="preserve"> compared to that of Rel-14 UEs, and specify 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 if justif</w:t>
      </w:r>
      <w:bookmarkStart w:id="4" w:name="_GoBack"/>
      <w:bookmarkEnd w:id="4"/>
      <w:r w:rsidRPr="002A3D45">
        <w:rPr>
          <w:rFonts w:ascii="Times New Roman" w:hAnsi="Times New Roman" w:cs="Times New Roman" w:hint="eastAsia"/>
          <w:i/>
          <w:sz w:val="20"/>
          <w:szCs w:val="20"/>
          <w:lang w:eastAsia="en-US"/>
        </w:rPr>
        <w:t>ied. [</w:t>
      </w:r>
      <w:r w:rsidRPr="002A3D45">
        <w:rPr>
          <w:rFonts w:ascii="Times New Roman" w:hAnsi="Times New Roman" w:cs="Times New Roman"/>
          <w:i/>
          <w:sz w:val="20"/>
          <w:szCs w:val="20"/>
          <w:lang w:eastAsia="en-US"/>
        </w:rPr>
        <w:t>RAN</w:t>
      </w:r>
      <w:r w:rsidRPr="002A3D45">
        <w:rPr>
          <w:rFonts w:ascii="Times New Roman" w:hAnsi="Times New Roman" w:cs="Times New Roman" w:hint="eastAsia"/>
          <w:i/>
          <w:sz w:val="20"/>
          <w:szCs w:val="20"/>
          <w:lang w:eastAsia="en-US"/>
        </w:rPr>
        <w:t>1</w:t>
      </w:r>
      <w:r w:rsidRPr="002A3D45">
        <w:rPr>
          <w:rFonts w:ascii="Times New Roman" w:hAnsi="Times New Roman" w:cs="Times New Roman"/>
          <w:i/>
          <w:sz w:val="20"/>
          <w:szCs w:val="20"/>
          <w:lang w:eastAsia="en-US"/>
        </w:rPr>
        <w:t>, RAN</w:t>
      </w:r>
      <w:r w:rsidRPr="002A3D45">
        <w:rPr>
          <w:rFonts w:ascii="Times New Roman" w:hAnsi="Times New Roman" w:cs="Times New Roman" w:hint="eastAsia"/>
          <w:i/>
          <w:sz w:val="20"/>
          <w:szCs w:val="20"/>
          <w:lang w:eastAsia="en-US"/>
        </w:rPr>
        <w:t>2</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RAN4]</w:t>
      </w:r>
    </w:p>
    <w:p w14:paraId="666A21B6" w14:textId="77777777" w:rsidR="002A3D45" w:rsidRPr="002A3D45" w:rsidRDefault="002A3D45" w:rsidP="002A3D45">
      <w:pPr>
        <w:pStyle w:val="ListParagraph"/>
        <w:overflowPunct w:val="0"/>
        <w:autoSpaceDE w:val="0"/>
        <w:autoSpaceDN w:val="0"/>
        <w:ind w:left="780"/>
        <w:jc w:val="both"/>
        <w:rPr>
          <w:rFonts w:ascii="Times New Roman" w:hAnsi="Times New Roman" w:cs="Times New Roman"/>
          <w:i/>
          <w:sz w:val="20"/>
          <w:szCs w:val="20"/>
          <w:lang w:eastAsia="en-US"/>
        </w:rPr>
      </w:pPr>
    </w:p>
    <w:p w14:paraId="536544F2" w14:textId="53079755" w:rsidR="002A3D45" w:rsidRDefault="002A3D45" w:rsidP="002A3D45">
      <w:pPr>
        <w:ind w:left="420"/>
        <w:jc w:val="both"/>
        <w:rPr>
          <w:i/>
        </w:rPr>
      </w:pPr>
      <w:r w:rsidRPr="002A3D45">
        <w:rPr>
          <w:i/>
        </w:rPr>
        <w:t>I</w:t>
      </w:r>
      <w:r w:rsidRPr="002A3D45">
        <w:rPr>
          <w:rFonts w:hint="eastAsia"/>
          <w:i/>
        </w:rPr>
        <w:t>n this work item, no new</w:t>
      </w:r>
      <w:r w:rsidRPr="002A3D45">
        <w:rPr>
          <w:i/>
        </w:rPr>
        <w:t xml:space="preserve"> numerology</w:t>
      </w:r>
      <w:r w:rsidRPr="002A3D45">
        <w:rPr>
          <w:rFonts w:hint="eastAsia"/>
          <w:i/>
        </w:rPr>
        <w:t>,</w:t>
      </w:r>
      <w:r w:rsidRPr="002A3D45">
        <w:rPr>
          <w:i/>
        </w:rPr>
        <w:t xml:space="preserve"> waveform, </w:t>
      </w:r>
      <w:r w:rsidRPr="002A3D45">
        <w:rPr>
          <w:rFonts w:hint="eastAsia"/>
          <w:i/>
        </w:rPr>
        <w:t xml:space="preserve">and </w:t>
      </w:r>
      <w:r w:rsidRPr="002A3D45">
        <w:rPr>
          <w:i/>
        </w:rPr>
        <w:t>channel coding</w:t>
      </w:r>
      <w:r w:rsidRPr="002A3D45">
        <w:rPr>
          <w:rFonts w:hint="eastAsia"/>
          <w:i/>
        </w:rPr>
        <w:t xml:space="preserve"> will be considered.</w:t>
      </w:r>
    </w:p>
    <w:p w14:paraId="4A4F60FE" w14:textId="095D2F79" w:rsidR="00FC3F08" w:rsidRDefault="00FC3F08" w:rsidP="002D7FD1">
      <w:pPr>
        <w:jc w:val="both"/>
        <w:rPr>
          <w:rFonts w:eastAsia="MS Mincho"/>
          <w:lang w:val="en-US" w:eastAsia="ja-JP"/>
        </w:rPr>
      </w:pPr>
      <w:r>
        <w:rPr>
          <w:lang w:val="en-US"/>
        </w:rPr>
        <w:t xml:space="preserve">Then, in </w:t>
      </w:r>
      <w:r>
        <w:rPr>
          <w:rFonts w:eastAsia="MS Mincho"/>
          <w:lang w:val="en-US" w:eastAsia="ja-JP"/>
        </w:rPr>
        <w:t>RAN1#89</w:t>
      </w:r>
      <w:r w:rsidR="00236AB5">
        <w:rPr>
          <w:rFonts w:eastAsia="MS Mincho"/>
          <w:lang w:val="en-US" w:eastAsia="ja-JP"/>
        </w:rPr>
        <w:t xml:space="preserve"> </w:t>
      </w:r>
      <w:r w:rsidR="00765B77">
        <w:rPr>
          <w:rFonts w:eastAsia="MS Mincho"/>
          <w:lang w:val="en-US" w:eastAsia="ja-JP"/>
        </w:rPr>
        <w:fldChar w:fldCharType="begin"/>
      </w:r>
      <w:r w:rsidR="00765B77">
        <w:rPr>
          <w:rFonts w:eastAsia="MS Mincho"/>
          <w:lang w:val="en-US" w:eastAsia="ja-JP"/>
        </w:rPr>
        <w:instrText xml:space="preserve"> REF _Ref494461017 \r \h </w:instrText>
      </w:r>
      <w:r w:rsidR="00765B77">
        <w:rPr>
          <w:rFonts w:eastAsia="MS Mincho"/>
          <w:lang w:val="en-US" w:eastAsia="ja-JP"/>
        </w:rPr>
      </w:r>
      <w:r w:rsidR="00765B77">
        <w:rPr>
          <w:rFonts w:eastAsia="MS Mincho"/>
          <w:lang w:val="en-US" w:eastAsia="ja-JP"/>
        </w:rPr>
        <w:fldChar w:fldCharType="separate"/>
      </w:r>
      <w:r w:rsidR="002E3BA5">
        <w:rPr>
          <w:rFonts w:eastAsia="MS Mincho"/>
          <w:lang w:val="en-US" w:eastAsia="ja-JP"/>
        </w:rPr>
        <w:t>[2]</w:t>
      </w:r>
      <w:r w:rsidR="00765B77">
        <w:rPr>
          <w:rFonts w:eastAsia="MS Mincho"/>
          <w:lang w:val="en-US" w:eastAsia="ja-JP"/>
        </w:rPr>
        <w:fldChar w:fldCharType="end"/>
      </w:r>
      <w:r>
        <w:rPr>
          <w:rFonts w:eastAsia="MS Mincho"/>
          <w:lang w:val="en-US" w:eastAsia="ja-JP"/>
        </w:rPr>
        <w:t>, the following was agreed.</w:t>
      </w:r>
    </w:p>
    <w:p w14:paraId="10D42E88" w14:textId="77777777" w:rsidR="00FC3F08" w:rsidRPr="00F85A57" w:rsidRDefault="00FC3F08" w:rsidP="00FC3F08">
      <w:pPr>
        <w:pStyle w:val="BodyText"/>
        <w:spacing w:after="240"/>
        <w:rPr>
          <w:sz w:val="20"/>
          <w:szCs w:val="20"/>
        </w:rPr>
      </w:pPr>
      <w:r w:rsidRPr="00F85A57">
        <w:rPr>
          <w:sz w:val="20"/>
          <w:szCs w:val="20"/>
          <w:highlight w:val="green"/>
        </w:rPr>
        <w:t>Agreement:</w:t>
      </w:r>
      <w:r w:rsidRPr="00F85A57">
        <w:rPr>
          <w:sz w:val="20"/>
          <w:szCs w:val="20"/>
        </w:rPr>
        <w:t xml:space="preserve"> </w:t>
      </w:r>
    </w:p>
    <w:p w14:paraId="1A8F91AC" w14:textId="2CA1845C" w:rsidR="00FC3F08" w:rsidRDefault="00FC3F08" w:rsidP="00CC2D84">
      <w:pPr>
        <w:pStyle w:val="BodyText"/>
        <w:numPr>
          <w:ilvl w:val="0"/>
          <w:numId w:val="8"/>
        </w:numPr>
        <w:spacing w:before="240" w:after="240"/>
        <w:jc w:val="both"/>
        <w:rPr>
          <w:sz w:val="20"/>
          <w:szCs w:val="20"/>
        </w:rPr>
      </w:pPr>
      <w:r w:rsidRPr="00F85A57">
        <w:rPr>
          <w:sz w:val="20"/>
          <w:szCs w:val="20"/>
        </w:rPr>
        <w:t>Legacy Rel-14 DMRS pattern with single antenna port, including time-frequency location, sequence, and cyclic shift, is applied to PSCCH transmission.</w:t>
      </w:r>
    </w:p>
    <w:p w14:paraId="2A945589" w14:textId="1B855EB2" w:rsidR="00777164" w:rsidRDefault="00777164" w:rsidP="00777164">
      <w:pPr>
        <w:spacing w:after="0"/>
        <w:rPr>
          <w:rFonts w:eastAsia="MS Mincho"/>
          <w:lang w:val="en-US" w:eastAsia="ja-JP"/>
        </w:rPr>
      </w:pPr>
      <w:r>
        <w:rPr>
          <w:rFonts w:eastAsia="MS Mincho"/>
          <w:iCs/>
          <w:lang w:val="en-US" w:eastAsia="ja-JP"/>
        </w:rPr>
        <w:t xml:space="preserve">In </w:t>
      </w:r>
      <w:r>
        <w:rPr>
          <w:rFonts w:eastAsia="MS Mincho"/>
          <w:lang w:val="en-US" w:eastAsia="ja-JP"/>
        </w:rPr>
        <w:t xml:space="preserve">RAN1#90 </w:t>
      </w:r>
      <w:r w:rsidR="00765B77">
        <w:rPr>
          <w:rFonts w:eastAsia="MS Mincho"/>
          <w:lang w:val="en-US" w:eastAsia="ja-JP"/>
        </w:rPr>
        <w:fldChar w:fldCharType="begin"/>
      </w:r>
      <w:r w:rsidR="00765B77">
        <w:rPr>
          <w:rFonts w:eastAsia="MS Mincho"/>
          <w:lang w:val="en-US" w:eastAsia="ja-JP"/>
        </w:rPr>
        <w:instrText xml:space="preserve"> REF _Ref494461055 \r \h </w:instrText>
      </w:r>
      <w:r w:rsidR="00765B77">
        <w:rPr>
          <w:rFonts w:eastAsia="MS Mincho"/>
          <w:lang w:val="en-US" w:eastAsia="ja-JP"/>
        </w:rPr>
      </w:r>
      <w:r w:rsidR="00765B77">
        <w:rPr>
          <w:rFonts w:eastAsia="MS Mincho"/>
          <w:lang w:val="en-US" w:eastAsia="ja-JP"/>
        </w:rPr>
        <w:fldChar w:fldCharType="separate"/>
      </w:r>
      <w:r w:rsidR="002E3BA5">
        <w:rPr>
          <w:rFonts w:eastAsia="MS Mincho"/>
          <w:lang w:val="en-US" w:eastAsia="ja-JP"/>
        </w:rPr>
        <w:t>[3]</w:t>
      </w:r>
      <w:r w:rsidR="00765B77">
        <w:rPr>
          <w:rFonts w:eastAsia="MS Mincho"/>
          <w:lang w:val="en-US" w:eastAsia="ja-JP"/>
        </w:rPr>
        <w:fldChar w:fldCharType="end"/>
      </w:r>
      <w:r>
        <w:rPr>
          <w:rFonts w:eastAsia="MS Mincho"/>
          <w:lang w:val="en-US" w:eastAsia="ja-JP"/>
        </w:rPr>
        <w:t xml:space="preserve">, the following working assumptions were summarized from offline discussions. </w:t>
      </w:r>
    </w:p>
    <w:p w14:paraId="17A22949" w14:textId="77777777" w:rsidR="00777164" w:rsidRDefault="00777164" w:rsidP="00777164">
      <w:pPr>
        <w:spacing w:after="0"/>
        <w:rPr>
          <w:rFonts w:eastAsia="MS Mincho"/>
          <w:lang w:val="en-US" w:eastAsia="ja-JP"/>
        </w:rPr>
      </w:pPr>
    </w:p>
    <w:p w14:paraId="4316980E" w14:textId="77777777" w:rsidR="00777164" w:rsidRPr="008C0147" w:rsidRDefault="00777164" w:rsidP="00777164">
      <w:pPr>
        <w:rPr>
          <w:rFonts w:eastAsia="MS Mincho"/>
          <w:b/>
          <w:u w:val="single"/>
          <w:lang w:val="en-US"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14:paraId="54D43650" w14:textId="77777777" w:rsidR="00777164" w:rsidRPr="008C0147" w:rsidRDefault="00777164" w:rsidP="00CC2D84">
      <w:pPr>
        <w:numPr>
          <w:ilvl w:val="0"/>
          <w:numId w:val="15"/>
        </w:numPr>
        <w:tabs>
          <w:tab w:val="left" w:pos="1440"/>
        </w:tabs>
        <w:spacing w:after="0"/>
        <w:rPr>
          <w:rFonts w:eastAsia="MS Mincho"/>
          <w:lang w:val="en-US" w:eastAsia="ja-JP"/>
        </w:rPr>
      </w:pPr>
      <w:r w:rsidRPr="008C0147">
        <w:rPr>
          <w:rFonts w:eastAsia="MS Mincho"/>
          <w:lang w:val="en-US" w:eastAsia="ja-JP"/>
        </w:rPr>
        <w:t>For designing PSSCH, RAN1 assumes the use of two-port non-transparent transmit diversity</w:t>
      </w:r>
    </w:p>
    <w:p w14:paraId="6C34841C"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 xml:space="preserve">The use of non-transparent transmit diversity is configured. </w:t>
      </w:r>
    </w:p>
    <w:p w14:paraId="35BD1956"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Details, including diversity scheme, are FFS</w:t>
      </w:r>
    </w:p>
    <w:p w14:paraId="3281D920"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Support of transmission and/or reception up to UE capability</w:t>
      </w:r>
    </w:p>
    <w:p w14:paraId="3A737525" w14:textId="77777777" w:rsidR="00777164" w:rsidRPr="008C0147" w:rsidRDefault="00777164" w:rsidP="00CC2D84">
      <w:pPr>
        <w:numPr>
          <w:ilvl w:val="2"/>
          <w:numId w:val="15"/>
        </w:numPr>
        <w:tabs>
          <w:tab w:val="left" w:pos="1440"/>
        </w:tabs>
        <w:spacing w:after="0"/>
        <w:rPr>
          <w:rFonts w:eastAsia="MS Mincho"/>
          <w:lang w:val="en-US" w:eastAsia="ja-JP"/>
        </w:rPr>
      </w:pPr>
      <w:r w:rsidRPr="008C0147">
        <w:rPr>
          <w:rFonts w:eastAsia="MS Mincho"/>
          <w:lang w:val="en-US" w:eastAsia="ja-JP"/>
        </w:rPr>
        <w:t>Note: It is RAN1 understanding that requirements on capabilities can be set at regional level and are outside 3GPP scope</w:t>
      </w:r>
    </w:p>
    <w:p w14:paraId="7A61E215"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Send LS to RAN4 to ask their opinion about when non-transparent scheme for transmit diversity is used by Rel-15 UEs:</w:t>
      </w:r>
    </w:p>
    <w:p w14:paraId="182B3113" w14:textId="77777777" w:rsidR="00777164" w:rsidRPr="008C0147" w:rsidRDefault="00777164" w:rsidP="00CC2D84">
      <w:pPr>
        <w:numPr>
          <w:ilvl w:val="2"/>
          <w:numId w:val="15"/>
        </w:numPr>
        <w:tabs>
          <w:tab w:val="left" w:pos="1440"/>
        </w:tabs>
        <w:spacing w:after="0"/>
        <w:rPr>
          <w:rFonts w:eastAsia="MS Mincho"/>
          <w:lang w:val="en-US" w:eastAsia="ja-JP"/>
        </w:rPr>
      </w:pPr>
      <w:r w:rsidRPr="008C0147">
        <w:rPr>
          <w:rFonts w:eastAsia="MS Mincho"/>
          <w:lang w:val="en-US" w:eastAsia="ja-JP"/>
        </w:rPr>
        <w:t>Impact on Rel-14 UEs of PSSCH-RSRP measurement accuracy</w:t>
      </w:r>
    </w:p>
    <w:p w14:paraId="4C0659AD" w14:textId="77777777" w:rsidR="00777164" w:rsidRPr="008C0147" w:rsidRDefault="00777164" w:rsidP="00CC2D84">
      <w:pPr>
        <w:numPr>
          <w:ilvl w:val="2"/>
          <w:numId w:val="15"/>
        </w:numPr>
        <w:tabs>
          <w:tab w:val="left" w:pos="1440"/>
        </w:tabs>
        <w:spacing w:after="0"/>
        <w:rPr>
          <w:rFonts w:eastAsia="MS Mincho"/>
          <w:lang w:val="en-US" w:eastAsia="ja-JP"/>
        </w:rPr>
      </w:pPr>
      <w:r w:rsidRPr="008C0147">
        <w:rPr>
          <w:rFonts w:eastAsia="MS Mincho"/>
          <w:lang w:val="en-US" w:eastAsia="ja-JP"/>
        </w:rPr>
        <w:t>MPR for Rel-15 UEs</w:t>
      </w:r>
    </w:p>
    <w:p w14:paraId="2AAB2F65" w14:textId="77777777" w:rsidR="00777164" w:rsidRPr="008C0147" w:rsidRDefault="00777164" w:rsidP="00CC2D84">
      <w:pPr>
        <w:numPr>
          <w:ilvl w:val="0"/>
          <w:numId w:val="15"/>
        </w:numPr>
        <w:tabs>
          <w:tab w:val="left" w:pos="1440"/>
        </w:tabs>
        <w:spacing w:after="0"/>
        <w:rPr>
          <w:rFonts w:eastAsia="MS Mincho"/>
          <w:lang w:val="en-US" w:eastAsia="ja-JP"/>
        </w:rPr>
      </w:pPr>
      <w:r w:rsidRPr="008C0147">
        <w:rPr>
          <w:rFonts w:eastAsia="MS Mincho"/>
          <w:lang w:val="en-US" w:eastAsia="ja-JP"/>
        </w:rPr>
        <w:t>Non-transparent Transmit diversity is not used in the following cases:</w:t>
      </w:r>
    </w:p>
    <w:p w14:paraId="0445FE9A"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When communicating with Rel-14 UEs</w:t>
      </w:r>
    </w:p>
    <w:p w14:paraId="0C45034F"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When there is a high probability of resource collision with Rel-14 UEs</w:t>
      </w:r>
    </w:p>
    <w:p w14:paraId="4B5F8594" w14:textId="3BEF7123" w:rsidR="00777164" w:rsidRPr="00777164" w:rsidRDefault="00777164" w:rsidP="00CC2D84">
      <w:pPr>
        <w:numPr>
          <w:ilvl w:val="0"/>
          <w:numId w:val="15"/>
        </w:numPr>
        <w:tabs>
          <w:tab w:val="left" w:pos="1440"/>
        </w:tabs>
        <w:spacing w:after="0"/>
        <w:rPr>
          <w:rFonts w:eastAsia="MS Mincho"/>
          <w:lang w:val="en-US" w:eastAsia="ja-JP"/>
        </w:rPr>
      </w:pPr>
      <w:r w:rsidRPr="008C0147">
        <w:rPr>
          <w:rFonts w:eastAsia="MS Mincho"/>
          <w:lang w:eastAsia="ja-JP"/>
        </w:rPr>
        <w:t>Note: Some companies observe that the performance of MMSE-IRC receiver degrades when a non-transparent Transmit diversity scheme is used in interference limited scenarios with a dominant interferer</w:t>
      </w:r>
    </w:p>
    <w:p w14:paraId="6BD42075" w14:textId="2B3FF3AD" w:rsidR="00777164" w:rsidRDefault="00342DA1" w:rsidP="00C3081F">
      <w:pPr>
        <w:tabs>
          <w:tab w:val="left" w:pos="1440"/>
        </w:tabs>
        <w:spacing w:before="240" w:after="0"/>
        <w:rPr>
          <w:rFonts w:eastAsia="MS Mincho"/>
          <w:lang w:val="en-US" w:eastAsia="ja-JP"/>
        </w:rPr>
      </w:pPr>
      <w:r>
        <w:rPr>
          <w:rFonts w:eastAsia="MS Mincho"/>
          <w:lang w:val="en-US" w:eastAsia="ja-JP"/>
        </w:rPr>
        <w:t xml:space="preserve">In RAN1#90bis </w:t>
      </w:r>
      <w:r w:rsidR="00DC6A6A">
        <w:rPr>
          <w:rFonts w:eastAsia="MS Mincho"/>
          <w:lang w:val="en-US" w:eastAsia="ja-JP"/>
        </w:rPr>
        <w:fldChar w:fldCharType="begin"/>
      </w:r>
      <w:r w:rsidR="00DC6A6A">
        <w:rPr>
          <w:rFonts w:eastAsia="MS Mincho"/>
          <w:lang w:val="en-US" w:eastAsia="ja-JP"/>
        </w:rPr>
        <w:instrText xml:space="preserve"> REF _Ref506365149 \r \h </w:instrText>
      </w:r>
      <w:r w:rsidR="00DC6A6A">
        <w:rPr>
          <w:rFonts w:eastAsia="MS Mincho"/>
          <w:lang w:val="en-US" w:eastAsia="ja-JP"/>
        </w:rPr>
      </w:r>
      <w:r w:rsidR="00DC6A6A">
        <w:rPr>
          <w:rFonts w:eastAsia="MS Mincho"/>
          <w:lang w:val="en-US" w:eastAsia="ja-JP"/>
        </w:rPr>
        <w:fldChar w:fldCharType="separate"/>
      </w:r>
      <w:r w:rsidR="007D58D3">
        <w:rPr>
          <w:rFonts w:eastAsia="MS Mincho"/>
          <w:lang w:val="en-US" w:eastAsia="ja-JP"/>
        </w:rPr>
        <w:t>[4]</w:t>
      </w:r>
      <w:r w:rsidR="00DC6A6A">
        <w:rPr>
          <w:rFonts w:eastAsia="MS Mincho"/>
          <w:lang w:val="en-US" w:eastAsia="ja-JP"/>
        </w:rPr>
        <w:fldChar w:fldCharType="end"/>
      </w:r>
      <w:r>
        <w:rPr>
          <w:rFonts w:eastAsia="MS Mincho"/>
          <w:lang w:val="en-US" w:eastAsia="ja-JP"/>
        </w:rPr>
        <w:t>, the following was agreed.</w:t>
      </w:r>
    </w:p>
    <w:p w14:paraId="329DB7B2" w14:textId="77777777" w:rsidR="00342DA1" w:rsidRDefault="00342DA1" w:rsidP="002E2A5B">
      <w:pPr>
        <w:spacing w:before="240"/>
        <w:ind w:left="1440" w:hanging="1440"/>
      </w:pPr>
      <w:r w:rsidRPr="003427BF">
        <w:rPr>
          <w:highlight w:val="green"/>
        </w:rPr>
        <w:t>Agreement</w:t>
      </w:r>
      <w:r>
        <w:t>:</w:t>
      </w:r>
    </w:p>
    <w:p w14:paraId="679D05C6" w14:textId="77777777" w:rsidR="00342DA1" w:rsidRPr="003427BF" w:rsidRDefault="00342DA1" w:rsidP="00342DA1">
      <w:pPr>
        <w:numPr>
          <w:ilvl w:val="0"/>
          <w:numId w:val="20"/>
        </w:numPr>
        <w:spacing w:after="0"/>
        <w:rPr>
          <w:lang w:val="en-US"/>
        </w:rPr>
      </w:pPr>
      <w:r w:rsidRPr="00273860">
        <w:t xml:space="preserve">For PSCCH, small delay CDD </w:t>
      </w:r>
      <w:r>
        <w:t>can be</w:t>
      </w:r>
      <w:r w:rsidRPr="00273860">
        <w:t xml:space="preserve"> </w:t>
      </w:r>
      <w:r>
        <w:t>used on PSCCH</w:t>
      </w:r>
    </w:p>
    <w:p w14:paraId="0DF35C2B" w14:textId="09ECC3C3" w:rsidR="00342DA1" w:rsidRPr="00272E9A" w:rsidRDefault="00342DA1" w:rsidP="00342DA1">
      <w:pPr>
        <w:numPr>
          <w:ilvl w:val="1"/>
          <w:numId w:val="20"/>
        </w:numPr>
        <w:spacing w:after="0"/>
        <w:rPr>
          <w:lang w:val="en-US"/>
        </w:rPr>
      </w:pPr>
      <w:r w:rsidRPr="00273860">
        <w:t>FFS whether the cyclic delay value is specified or left for UE implementation</w:t>
      </w:r>
    </w:p>
    <w:p w14:paraId="5B1ED599" w14:textId="48F52C8B" w:rsidR="00272E9A" w:rsidRDefault="00272E9A" w:rsidP="00272E9A">
      <w:pPr>
        <w:spacing w:after="0"/>
      </w:pPr>
    </w:p>
    <w:p w14:paraId="00BAA1CC" w14:textId="3CB828A9" w:rsidR="00272E9A" w:rsidRDefault="00272E9A" w:rsidP="00272E9A">
      <w:pPr>
        <w:spacing w:after="0"/>
        <w:rPr>
          <w:rFonts w:eastAsia="MS Mincho"/>
          <w:lang w:val="en-US" w:eastAsia="ja-JP"/>
        </w:rPr>
      </w:pPr>
      <w:r>
        <w:t>In RAN1</w:t>
      </w:r>
      <w:r>
        <w:rPr>
          <w:rFonts w:eastAsia="MS Mincho"/>
          <w:lang w:val="en-US" w:eastAsia="ja-JP"/>
        </w:rPr>
        <w:t>#91</w:t>
      </w:r>
      <w:r w:rsidR="00C97730">
        <w:rPr>
          <w:rFonts w:eastAsia="MS Mincho"/>
          <w:lang w:val="en-US" w:eastAsia="ja-JP"/>
        </w:rPr>
        <w:t xml:space="preserve"> </w:t>
      </w:r>
      <w:r w:rsidR="00C97730">
        <w:rPr>
          <w:rFonts w:eastAsia="MS Mincho"/>
          <w:lang w:val="en-US" w:eastAsia="ja-JP"/>
        </w:rPr>
        <w:fldChar w:fldCharType="begin"/>
      </w:r>
      <w:r w:rsidR="00C97730">
        <w:rPr>
          <w:rFonts w:eastAsia="MS Mincho"/>
          <w:lang w:val="en-US" w:eastAsia="ja-JP"/>
        </w:rPr>
        <w:instrText xml:space="preserve"> REF _Ref506292582 \n \h </w:instrText>
      </w:r>
      <w:r w:rsidR="00C97730">
        <w:rPr>
          <w:rFonts w:eastAsia="MS Mincho"/>
          <w:lang w:val="en-US" w:eastAsia="ja-JP"/>
        </w:rPr>
      </w:r>
      <w:r w:rsidR="00C97730">
        <w:rPr>
          <w:rFonts w:eastAsia="MS Mincho"/>
          <w:lang w:val="en-US" w:eastAsia="ja-JP"/>
        </w:rPr>
        <w:fldChar w:fldCharType="separate"/>
      </w:r>
      <w:r w:rsidR="002E3BA5">
        <w:rPr>
          <w:rFonts w:eastAsia="MS Mincho"/>
          <w:lang w:val="en-US" w:eastAsia="ja-JP"/>
        </w:rPr>
        <w:t>[5]</w:t>
      </w:r>
      <w:r w:rsidR="00C97730">
        <w:rPr>
          <w:rFonts w:eastAsia="MS Mincho"/>
          <w:lang w:val="en-US" w:eastAsia="ja-JP"/>
        </w:rPr>
        <w:fldChar w:fldCharType="end"/>
      </w:r>
      <w:r>
        <w:rPr>
          <w:rFonts w:eastAsia="MS Mincho"/>
          <w:lang w:val="en-US" w:eastAsia="ja-JP"/>
        </w:rPr>
        <w:t>, the following was agreed.</w:t>
      </w:r>
    </w:p>
    <w:p w14:paraId="53D67455" w14:textId="77777777" w:rsidR="00272E9A" w:rsidRPr="00736896" w:rsidRDefault="00272E9A" w:rsidP="002E2A5B">
      <w:pPr>
        <w:spacing w:before="240"/>
        <w:rPr>
          <w:rFonts w:eastAsia="Yu Mincho"/>
          <w:lang w:eastAsia="ja-JP"/>
        </w:rPr>
      </w:pPr>
      <w:r w:rsidRPr="00736896">
        <w:rPr>
          <w:rFonts w:eastAsia="Yu Mincho"/>
          <w:highlight w:val="green"/>
          <w:lang w:eastAsia="ja-JP"/>
        </w:rPr>
        <w:t>Agreement</w:t>
      </w:r>
    </w:p>
    <w:p w14:paraId="6539C19C" w14:textId="77777777" w:rsidR="00272E9A" w:rsidRPr="00736896" w:rsidRDefault="00272E9A" w:rsidP="00272E9A">
      <w:pPr>
        <w:numPr>
          <w:ilvl w:val="0"/>
          <w:numId w:val="21"/>
        </w:numPr>
        <w:spacing w:after="0"/>
        <w:rPr>
          <w:rFonts w:eastAsia="Yu Mincho"/>
          <w:lang w:val="en-US" w:eastAsia="ja-JP"/>
        </w:rPr>
      </w:pPr>
      <w:r w:rsidRPr="00736896">
        <w:rPr>
          <w:rFonts w:eastAsia="Yu Mincho"/>
          <w:lang w:val="en-US" w:eastAsia="ja-JP"/>
        </w:rPr>
        <w:t xml:space="preserve">Assuming the previous WA of introducing non-transparent transmit diversity is confirmed, for two-port non-transparent transmit diversity for PSSCH, </w:t>
      </w:r>
      <w:r w:rsidRPr="00736896">
        <w:rPr>
          <w:rFonts w:eastAsia="Yu Mincho"/>
          <w:lang w:eastAsia="ja-JP"/>
        </w:rPr>
        <w:t xml:space="preserve">downselect option 1 as WA among the following candidate schemes </w:t>
      </w:r>
    </w:p>
    <w:p w14:paraId="73C56A9D" w14:textId="77777777" w:rsidR="00272E9A" w:rsidRPr="00736896" w:rsidRDefault="00272E9A" w:rsidP="00272E9A">
      <w:pPr>
        <w:numPr>
          <w:ilvl w:val="1"/>
          <w:numId w:val="21"/>
        </w:numPr>
        <w:spacing w:after="0"/>
        <w:rPr>
          <w:rFonts w:eastAsia="Yu Mincho"/>
          <w:lang w:val="en-US" w:eastAsia="ja-JP"/>
        </w:rPr>
      </w:pPr>
      <w:r w:rsidRPr="00736896">
        <w:rPr>
          <w:rFonts w:eastAsia="Yu Mincho"/>
          <w:highlight w:val="darkYellow"/>
          <w:lang w:eastAsia="ja-JP"/>
        </w:rPr>
        <w:t>Working assumption:</w:t>
      </w:r>
      <w:r w:rsidRPr="00736896">
        <w:rPr>
          <w:rFonts w:eastAsia="Yu Mincho"/>
          <w:lang w:eastAsia="ja-JP"/>
        </w:rPr>
        <w:t xml:space="preserve"> Option 1: SFBC-based scheme (including PAPR preserving)</w:t>
      </w:r>
    </w:p>
    <w:p w14:paraId="77980D48" w14:textId="77777777" w:rsidR="00272E9A" w:rsidRPr="00736896" w:rsidRDefault="00272E9A" w:rsidP="00272E9A">
      <w:pPr>
        <w:numPr>
          <w:ilvl w:val="2"/>
          <w:numId w:val="21"/>
        </w:numPr>
        <w:spacing w:after="0"/>
        <w:rPr>
          <w:rFonts w:eastAsia="Yu Mincho"/>
          <w:lang w:val="en-US" w:eastAsia="ja-JP"/>
        </w:rPr>
      </w:pPr>
      <w:r w:rsidRPr="00736896">
        <w:rPr>
          <w:rFonts w:eastAsia="Yu Mincho"/>
          <w:lang w:eastAsia="ja-JP"/>
        </w:rPr>
        <w:t xml:space="preserve">FFS whether to apply slot-level PVS </w:t>
      </w:r>
    </w:p>
    <w:p w14:paraId="1F4273ED" w14:textId="77777777" w:rsidR="00272E9A" w:rsidRPr="00736896" w:rsidRDefault="00272E9A" w:rsidP="00272E9A">
      <w:pPr>
        <w:numPr>
          <w:ilvl w:val="1"/>
          <w:numId w:val="21"/>
        </w:numPr>
        <w:spacing w:after="0"/>
        <w:rPr>
          <w:rFonts w:eastAsia="Yu Mincho"/>
          <w:lang w:val="en-US" w:eastAsia="ja-JP"/>
        </w:rPr>
      </w:pPr>
      <w:r w:rsidRPr="00736896">
        <w:rPr>
          <w:rFonts w:eastAsia="Yu Mincho"/>
          <w:lang w:eastAsia="ja-JP"/>
        </w:rPr>
        <w:t>Option 2: STBC-based (including half symbol)</w:t>
      </w:r>
    </w:p>
    <w:p w14:paraId="53660CCF" w14:textId="36E69512" w:rsidR="00272E9A" w:rsidRDefault="00272E9A" w:rsidP="00272E9A">
      <w:pPr>
        <w:rPr>
          <w:rFonts w:eastAsia="Yu Mincho"/>
          <w:lang w:eastAsia="ja-JP"/>
        </w:rPr>
      </w:pPr>
      <w:r w:rsidRPr="00736896">
        <w:rPr>
          <w:rFonts w:eastAsia="Yu Mincho" w:hint="eastAsia"/>
          <w:lang w:eastAsia="ja-JP"/>
        </w:rPr>
        <w:t>N</w:t>
      </w:r>
      <w:r w:rsidRPr="00736896">
        <w:rPr>
          <w:rFonts w:eastAsia="Yu Mincho"/>
          <w:lang w:eastAsia="ja-JP"/>
        </w:rPr>
        <w:t>ote: Companies are encouraged to perform evaluations for the above options</w:t>
      </w:r>
    </w:p>
    <w:p w14:paraId="21FBCC39" w14:textId="23E272EF" w:rsidR="00272E9A" w:rsidRDefault="00272E9A" w:rsidP="00272E9A">
      <w:pPr>
        <w:spacing w:after="0"/>
      </w:pPr>
      <w:r>
        <w:lastRenderedPageBreak/>
        <w:t>Moreover, RAN4 has provided the response to RAN1’s LS in R1-1801310 (R4-1713925)</w:t>
      </w:r>
      <w:r w:rsidR="00C97730">
        <w:t xml:space="preserve"> </w:t>
      </w:r>
      <w:r w:rsidR="00C97730">
        <w:fldChar w:fldCharType="begin"/>
      </w:r>
      <w:r w:rsidR="00C97730">
        <w:instrText xml:space="preserve"> REF _Ref506292678 \n \h </w:instrText>
      </w:r>
      <w:r w:rsidR="00C97730">
        <w:fldChar w:fldCharType="separate"/>
      </w:r>
      <w:r w:rsidR="002E3BA5">
        <w:t>[</w:t>
      </w:r>
      <w:r w:rsidR="00413C07">
        <w:t>7</w:t>
      </w:r>
      <w:r w:rsidR="002E3BA5">
        <w:t>]</w:t>
      </w:r>
      <w:r w:rsidR="00C97730">
        <w:fldChar w:fldCharType="end"/>
      </w:r>
      <w:r>
        <w:t>.</w:t>
      </w:r>
      <w:r w:rsidR="00311B9B">
        <w:t xml:space="preserve"> In particular, </w:t>
      </w:r>
      <w:r w:rsidR="009C011C">
        <w:t xml:space="preserve">they have evaluated the MPR for Rel-15 UEs and evaluated the impacts on the receiver performance of Rel-14 UEs in the presence of single-port or multi-port interferer(s). </w:t>
      </w:r>
    </w:p>
    <w:p w14:paraId="29B1C5A2" w14:textId="23F7AA33" w:rsidR="00B270EC" w:rsidRDefault="00B270EC" w:rsidP="00272E9A">
      <w:pPr>
        <w:spacing w:after="0"/>
      </w:pPr>
    </w:p>
    <w:p w14:paraId="660C60C7" w14:textId="66E3B7BA" w:rsidR="00B270EC" w:rsidRDefault="00B270EC" w:rsidP="00B270EC">
      <w:pPr>
        <w:spacing w:after="0"/>
        <w:rPr>
          <w:rFonts w:eastAsia="MS Mincho"/>
          <w:lang w:val="en-US" w:eastAsia="ja-JP"/>
        </w:rPr>
      </w:pPr>
      <w:r>
        <w:t>In RAN1</w:t>
      </w:r>
      <w:r>
        <w:rPr>
          <w:rFonts w:eastAsia="MS Mincho"/>
          <w:lang w:val="en-US" w:eastAsia="ja-JP"/>
        </w:rPr>
        <w:t>#92 [6], no further agreement was achieved. On the other hand, the following conclusion was drawn.</w:t>
      </w:r>
    </w:p>
    <w:p w14:paraId="7870C1B4" w14:textId="77777777" w:rsidR="00B270EC" w:rsidRPr="0042768B" w:rsidRDefault="00B270EC" w:rsidP="002E2A5B">
      <w:pPr>
        <w:spacing w:before="240"/>
        <w:rPr>
          <w:b/>
          <w:u w:val="single"/>
          <w:lang w:eastAsia="x-none"/>
        </w:rPr>
      </w:pPr>
      <w:r w:rsidRPr="0042768B">
        <w:rPr>
          <w:b/>
          <w:u w:val="single"/>
          <w:lang w:eastAsia="x-none"/>
        </w:rPr>
        <w:t xml:space="preserve">Conclusion: </w:t>
      </w:r>
    </w:p>
    <w:p w14:paraId="18C417A5" w14:textId="77777777" w:rsidR="00B270EC" w:rsidRDefault="00B270EC" w:rsidP="002E2A5B">
      <w:pPr>
        <w:numPr>
          <w:ilvl w:val="0"/>
          <w:numId w:val="24"/>
        </w:numPr>
        <w:spacing w:after="0"/>
        <w:ind w:left="709"/>
        <w:rPr>
          <w:lang w:eastAsia="x-none"/>
        </w:rPr>
      </w:pPr>
      <w:r>
        <w:rPr>
          <w:lang w:eastAsia="x-none"/>
        </w:rPr>
        <w:t>There is not consensus to confirm the working assumption to adopt non-transparent tx diversity, due to concerns on the impact on Rel-14 UEs with IRC receivers</w:t>
      </w:r>
    </w:p>
    <w:p w14:paraId="35CBD528" w14:textId="77777777" w:rsidR="00B270EC" w:rsidRDefault="00B270EC" w:rsidP="002E2A5B">
      <w:pPr>
        <w:numPr>
          <w:ilvl w:val="0"/>
          <w:numId w:val="24"/>
        </w:numPr>
        <w:spacing w:after="0"/>
        <w:ind w:left="709"/>
        <w:rPr>
          <w:lang w:eastAsia="x-none"/>
        </w:rPr>
      </w:pPr>
      <w:r>
        <w:rPr>
          <w:lang w:eastAsia="x-none"/>
        </w:rPr>
        <w:t xml:space="preserve">Can consider further at RAN1#92bis whether the same SD-CDD scheme as PSCCH can be applied to PSSCH. </w:t>
      </w:r>
    </w:p>
    <w:p w14:paraId="67BD2C8E" w14:textId="77777777" w:rsidR="00B270EC" w:rsidRDefault="00B270EC" w:rsidP="002E2A5B">
      <w:pPr>
        <w:numPr>
          <w:ilvl w:val="1"/>
          <w:numId w:val="24"/>
        </w:numPr>
        <w:spacing w:after="0"/>
        <w:ind w:left="1276"/>
        <w:rPr>
          <w:lang w:eastAsia="x-none"/>
        </w:rPr>
      </w:pPr>
      <w:r>
        <w:rPr>
          <w:lang w:eastAsia="x-none"/>
        </w:rPr>
        <w:t>FFS whether there is any spec impact (e.g. depending on choice of delay value(s))</w:t>
      </w:r>
    </w:p>
    <w:p w14:paraId="4A963D7D" w14:textId="77777777" w:rsidR="00B270EC" w:rsidRDefault="00B270EC" w:rsidP="002E2A5B">
      <w:pPr>
        <w:numPr>
          <w:ilvl w:val="1"/>
          <w:numId w:val="24"/>
        </w:numPr>
        <w:spacing w:after="0"/>
        <w:ind w:left="1276"/>
        <w:rPr>
          <w:lang w:eastAsia="x-none"/>
        </w:rPr>
      </w:pPr>
      <w:r>
        <w:rPr>
          <w:lang w:eastAsia="x-none"/>
        </w:rPr>
        <w:t>Check CDD performance at different UE speeds</w:t>
      </w:r>
    </w:p>
    <w:p w14:paraId="490C5048" w14:textId="3051BB96" w:rsidR="00B270EC" w:rsidRPr="00B270EC" w:rsidRDefault="00B270EC" w:rsidP="002E2A5B">
      <w:pPr>
        <w:numPr>
          <w:ilvl w:val="1"/>
          <w:numId w:val="24"/>
        </w:numPr>
        <w:spacing w:after="0"/>
        <w:ind w:left="1276"/>
        <w:rPr>
          <w:lang w:eastAsia="x-none"/>
        </w:rPr>
      </w:pPr>
      <w:r>
        <w:rPr>
          <w:lang w:eastAsia="x-none"/>
        </w:rPr>
        <w:t>Evaluations should use practical CFO estimation</w:t>
      </w:r>
    </w:p>
    <w:p w14:paraId="6F4931E7" w14:textId="77777777" w:rsidR="00B270EC" w:rsidRPr="00B270EC" w:rsidRDefault="00B270EC" w:rsidP="00272E9A">
      <w:pPr>
        <w:spacing w:after="0"/>
        <w:rPr>
          <w:lang w:val="en-US"/>
        </w:rPr>
      </w:pPr>
    </w:p>
    <w:p w14:paraId="22CA6823" w14:textId="62A22F60" w:rsidR="0069038F" w:rsidRPr="0069038F" w:rsidRDefault="0085245E" w:rsidP="00B369A1">
      <w:pPr>
        <w:jc w:val="both"/>
      </w:pPr>
      <w:r w:rsidRPr="0070331C">
        <w:t>In this contribution</w:t>
      </w:r>
      <w:r w:rsidR="000543DA">
        <w:t>,</w:t>
      </w:r>
      <w:r w:rsidRPr="0070331C">
        <w:t xml:space="preserve"> we discuss </w:t>
      </w:r>
      <w:r w:rsidR="00342DA1">
        <w:t>the cyclic delay value of CDD scheme applied to PSCCH transmission and the transmit diversity scheme</w:t>
      </w:r>
      <w:r w:rsidR="0070331C" w:rsidRPr="0070331C">
        <w:t xml:space="preserve"> </w:t>
      </w:r>
      <w:r w:rsidR="00342DA1">
        <w:t>applied to</w:t>
      </w:r>
      <w:r w:rsidR="0070331C" w:rsidRPr="0070331C">
        <w:t xml:space="preserve"> PSSCH tr</w:t>
      </w:r>
      <w:r w:rsidR="00342DA1">
        <w:t>ansmission</w:t>
      </w:r>
      <w:r w:rsidR="0070331C" w:rsidRPr="0070331C">
        <w:t xml:space="preserve">. </w:t>
      </w:r>
      <w:r w:rsidR="00777164">
        <w:t>The a</w:t>
      </w:r>
      <w:r w:rsidR="0070331C" w:rsidRPr="00A17A98">
        <w:t xml:space="preserve">ssociated DMRS design </w:t>
      </w:r>
      <w:r w:rsidR="00D13A7D" w:rsidRPr="00A17A98">
        <w:t xml:space="preserve">for </w:t>
      </w:r>
      <w:r w:rsidR="00342DA1">
        <w:t xml:space="preserve">the two-port </w:t>
      </w:r>
      <w:r w:rsidR="00D13A7D" w:rsidRPr="00A17A98">
        <w:t xml:space="preserve">transmit diversity </w:t>
      </w:r>
      <w:r w:rsidR="0070331C" w:rsidRPr="00A17A98">
        <w:t>is discussed in our compan</w:t>
      </w:r>
      <w:r w:rsidR="000543DA" w:rsidRPr="00A17A98">
        <w:t>ion</w:t>
      </w:r>
      <w:r w:rsidR="0070331C" w:rsidRPr="00A17A98">
        <w:t xml:space="preserve"> contribution</w:t>
      </w:r>
      <w:r w:rsidR="00467871">
        <w:t xml:space="preserve"> </w:t>
      </w:r>
      <w:r w:rsidR="008B40AF">
        <w:fldChar w:fldCharType="begin"/>
      </w:r>
      <w:r w:rsidR="008B40AF">
        <w:instrText xml:space="preserve"> REF _Ref494462115 \n \h </w:instrText>
      </w:r>
      <w:r w:rsidR="008B40AF">
        <w:fldChar w:fldCharType="separate"/>
      </w:r>
      <w:r w:rsidR="002E3BA5">
        <w:t>[</w:t>
      </w:r>
      <w:r w:rsidR="00413C07">
        <w:t>8</w:t>
      </w:r>
      <w:r w:rsidR="002E3BA5">
        <w:t>]</w:t>
      </w:r>
      <w:r w:rsidR="008B40AF">
        <w:fldChar w:fldCharType="end"/>
      </w:r>
      <w:r w:rsidR="0070331C" w:rsidRPr="00A17A98">
        <w:t>.</w:t>
      </w:r>
      <w:r w:rsidR="007D58D3">
        <w:t xml:space="preserve"> Evaluation results are provided in </w:t>
      </w:r>
      <w:r w:rsidR="007D58D3">
        <w:fldChar w:fldCharType="begin"/>
      </w:r>
      <w:r w:rsidR="007D58D3">
        <w:instrText xml:space="preserve"> REF _Ref494461137 \r \h </w:instrText>
      </w:r>
      <w:r w:rsidR="007D58D3">
        <w:fldChar w:fldCharType="separate"/>
      </w:r>
      <w:r w:rsidR="007D58D3">
        <w:t>[</w:t>
      </w:r>
      <w:r w:rsidR="00413C07">
        <w:t>9</w:t>
      </w:r>
      <w:r w:rsidR="007D58D3">
        <w:t>]</w:t>
      </w:r>
      <w:r w:rsidR="007D58D3">
        <w:fldChar w:fldCharType="end"/>
      </w:r>
      <w:r w:rsidR="007D58D3">
        <w:t>.</w:t>
      </w:r>
    </w:p>
    <w:p w14:paraId="0A9F175C" w14:textId="5DBA6677" w:rsidR="000714A4" w:rsidRDefault="007B6B69" w:rsidP="007B6B69">
      <w:pPr>
        <w:pStyle w:val="Heading1"/>
      </w:pPr>
      <w:r>
        <w:t>Cyclic delay value of CDD in PSCCH transmission</w:t>
      </w:r>
    </w:p>
    <w:p w14:paraId="46D830A8" w14:textId="03007316" w:rsidR="007B6B69" w:rsidRDefault="007B6B69" w:rsidP="00FC3F08">
      <w:pPr>
        <w:pStyle w:val="BodyText"/>
        <w:spacing w:before="240" w:after="240"/>
        <w:jc w:val="both"/>
        <w:rPr>
          <w:sz w:val="20"/>
          <w:szCs w:val="20"/>
          <w:lang w:val="en-GB"/>
        </w:rPr>
      </w:pPr>
      <w:r>
        <w:rPr>
          <w:sz w:val="20"/>
          <w:szCs w:val="20"/>
          <w:lang w:val="en-GB"/>
        </w:rPr>
        <w:t xml:space="preserve">It has been agreed in </w:t>
      </w:r>
      <w:r w:rsidRPr="007B6B69">
        <w:rPr>
          <w:sz w:val="20"/>
          <w:szCs w:val="20"/>
          <w:lang w:val="en-GB"/>
        </w:rPr>
        <w:t>RAN1#90bis</w:t>
      </w:r>
      <w:r>
        <w:rPr>
          <w:sz w:val="20"/>
          <w:szCs w:val="20"/>
          <w:lang w:val="en-GB"/>
        </w:rPr>
        <w:t xml:space="preserve"> that</w:t>
      </w:r>
      <w:r w:rsidR="00F5271D">
        <w:rPr>
          <w:sz w:val="20"/>
          <w:szCs w:val="20"/>
          <w:lang w:val="en-GB"/>
        </w:rPr>
        <w:t xml:space="preserve"> </w:t>
      </w:r>
      <w:r w:rsidR="00F5271D" w:rsidRPr="00F5271D">
        <w:rPr>
          <w:sz w:val="20"/>
          <w:szCs w:val="20"/>
          <w:lang w:val="en-GB"/>
        </w:rPr>
        <w:t>small delay CDD can be used on PSCCH</w:t>
      </w:r>
      <w:r w:rsidR="00F5271D">
        <w:rPr>
          <w:sz w:val="20"/>
          <w:szCs w:val="20"/>
          <w:lang w:val="en-GB"/>
        </w:rPr>
        <w:t xml:space="preserve">. </w:t>
      </w:r>
      <w:r w:rsidR="007548E9">
        <w:rPr>
          <w:sz w:val="20"/>
          <w:szCs w:val="20"/>
          <w:lang w:val="en-GB"/>
        </w:rPr>
        <w:t>On the other hand, w</w:t>
      </w:r>
      <w:r w:rsidR="00F5271D">
        <w:rPr>
          <w:sz w:val="20"/>
          <w:szCs w:val="20"/>
          <w:lang w:val="en-GB"/>
        </w:rPr>
        <w:t xml:space="preserve">hether or not to </w:t>
      </w:r>
      <w:r w:rsidR="009400D1">
        <w:rPr>
          <w:sz w:val="20"/>
          <w:szCs w:val="20"/>
          <w:lang w:val="en-GB"/>
        </w:rPr>
        <w:t>specify</w:t>
      </w:r>
      <w:r w:rsidR="00F5271D">
        <w:rPr>
          <w:sz w:val="20"/>
          <w:szCs w:val="20"/>
          <w:lang w:val="en-GB"/>
        </w:rPr>
        <w:t xml:space="preserve"> the cyclic delay value</w:t>
      </w:r>
      <w:r w:rsidR="007548E9">
        <w:rPr>
          <w:sz w:val="20"/>
          <w:szCs w:val="20"/>
          <w:lang w:val="en-GB"/>
        </w:rPr>
        <w:t xml:space="preserve"> </w:t>
      </w:r>
      <w:r w:rsidR="00726443">
        <w:rPr>
          <w:sz w:val="20"/>
          <w:szCs w:val="20"/>
          <w:lang w:val="en-GB"/>
        </w:rPr>
        <w:t xml:space="preserve">was </w:t>
      </w:r>
      <w:r w:rsidR="00F5271D">
        <w:rPr>
          <w:sz w:val="20"/>
          <w:szCs w:val="20"/>
          <w:lang w:val="en-GB"/>
        </w:rPr>
        <w:t>left for further study.</w:t>
      </w:r>
    </w:p>
    <w:p w14:paraId="7FE1D6F1" w14:textId="4650004D" w:rsidR="001E55BC" w:rsidRDefault="009400D1" w:rsidP="009C40B4">
      <w:pPr>
        <w:pStyle w:val="BodyText"/>
        <w:spacing w:before="240" w:after="240"/>
        <w:jc w:val="both"/>
        <w:rPr>
          <w:sz w:val="20"/>
          <w:szCs w:val="20"/>
          <w:lang w:val="en-GB"/>
        </w:rPr>
      </w:pPr>
      <w:r w:rsidRPr="009400D1">
        <w:rPr>
          <w:sz w:val="20"/>
          <w:szCs w:val="20"/>
          <w:lang w:val="en-GB"/>
        </w:rPr>
        <w:t>CDD</w:t>
      </w:r>
      <w:r w:rsidR="001E55BC">
        <w:rPr>
          <w:sz w:val="20"/>
          <w:szCs w:val="20"/>
          <w:lang w:val="en-GB"/>
        </w:rPr>
        <w:t xml:space="preserve"> scheme</w:t>
      </w:r>
      <w:r w:rsidRPr="009400D1">
        <w:rPr>
          <w:sz w:val="20"/>
          <w:szCs w:val="20"/>
          <w:lang w:val="en-GB"/>
        </w:rPr>
        <w:t xml:space="preserve"> transforms spatial diversity into frequency diversity by multiplying the frequency domain data symbols with a linear increasing phase factor t</w:t>
      </w:r>
      <w:r w:rsidR="001E55BC">
        <w:rPr>
          <w:sz w:val="20"/>
          <w:szCs w:val="20"/>
          <w:lang w:val="en-GB"/>
        </w:rPr>
        <w:t xml:space="preserve">hat depends on the cyclic delay, as shown </w:t>
      </w:r>
      <w:r w:rsidR="009C40B4">
        <w:rPr>
          <w:sz w:val="20"/>
          <w:szCs w:val="20"/>
          <w:lang w:val="en-GB"/>
        </w:rPr>
        <w:t xml:space="preserve">in </w:t>
      </w:r>
      <w:r w:rsidR="0069038F">
        <w:fldChar w:fldCharType="begin"/>
      </w:r>
      <w:r w:rsidR="0069038F">
        <w:rPr>
          <w:sz w:val="20"/>
          <w:szCs w:val="20"/>
          <w:lang w:val="en-GB"/>
        </w:rPr>
        <w:instrText xml:space="preserve"> REF _Ref477772686 \h  \* MERGEFORMAT </w:instrText>
      </w:r>
      <w:r w:rsidR="0069038F">
        <w:fldChar w:fldCharType="separate"/>
      </w:r>
      <w:r w:rsidR="002E3BA5" w:rsidRPr="002E3BA5">
        <w:rPr>
          <w:sz w:val="20"/>
          <w:szCs w:val="20"/>
          <w:lang w:val="en-GB"/>
        </w:rPr>
        <w:t>Figure 1</w:t>
      </w:r>
      <w:r w:rsidR="0069038F">
        <w:fldChar w:fldCharType="end"/>
      </w:r>
      <w:r w:rsidR="009C40B4">
        <w:rPr>
          <w:sz w:val="20"/>
          <w:szCs w:val="20"/>
          <w:lang w:val="en-GB"/>
        </w:rPr>
        <w:t xml:space="preserve">. </w:t>
      </w:r>
      <w:r w:rsidR="009C40B4" w:rsidRPr="007B4EE5">
        <w:rPr>
          <w:sz w:val="20"/>
          <w:szCs w:val="20"/>
          <w:lang w:val="en-GB"/>
        </w:rPr>
        <w:t xml:space="preserve">The phase-rotation precoder </w:t>
      </w:r>
      <w:r w:rsidR="009C40B4">
        <w:rPr>
          <w:sz w:val="20"/>
          <w:szCs w:val="20"/>
          <w:lang w:val="en-GB"/>
        </w:rPr>
        <w:t>consists of multiplying the frequency-domain signal by a term</w:t>
      </w:r>
      <w:r w:rsidR="009C40B4" w:rsidRPr="007B4EE5">
        <w:rPr>
          <w:sz w:val="20"/>
          <w:szCs w:val="20"/>
          <w:lang w:val="en-GB"/>
        </w:rPr>
        <w:t xml:space="preserve"> </w:t>
      </w:r>
      <m:oMath>
        <m:sSup>
          <m:sSupPr>
            <m:ctrlPr>
              <w:rPr>
                <w:rFonts w:ascii="Cambria Math" w:hAnsi="Cambria Math"/>
                <w:i/>
                <w:iCs/>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-j2πk</m:t>
            </m:r>
            <m:sSub>
              <m:sSubPr>
                <m:ctrlPr>
                  <w:rPr>
                    <w:rFonts w:ascii="Cambria Math" w:hAnsi="Cambria Math"/>
                    <w:i/>
                    <w:i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r>
              <w:rPr>
                <w:rFonts w:ascii="Cambria Math" w:hAnsi="Cambria Math"/>
                <w:sz w:val="20"/>
                <w:szCs w:val="20"/>
                <w:lang w:val="en-GB"/>
              </w:rPr>
              <m:t>/N</m:t>
            </m:r>
          </m:sup>
        </m:sSup>
      </m:oMath>
      <w:r w:rsidR="009C40B4" w:rsidRPr="007B4EE5">
        <w:rPr>
          <w:sz w:val="20"/>
          <w:szCs w:val="20"/>
          <w:lang w:val="en-GB"/>
        </w:rPr>
        <w:t xml:space="preserve">, where </w:t>
      </w:r>
      <m:oMath>
        <m:r>
          <w:rPr>
            <w:rFonts w:ascii="Cambria Math" w:hAnsi="Cambria Math"/>
            <w:sz w:val="20"/>
            <w:szCs w:val="20"/>
            <w:lang w:val="en-GB"/>
          </w:rPr>
          <m:t>k</m:t>
        </m:r>
      </m:oMath>
      <w:r w:rsidR="009C40B4" w:rsidRPr="007B4EE5">
        <w:rPr>
          <w:sz w:val="20"/>
          <w:szCs w:val="20"/>
          <w:lang w:val="en-GB"/>
        </w:rPr>
        <w:t xml:space="preserve"> is the subcarrier index, </w:t>
      </w:r>
      <m:oMath>
        <m:r>
          <w:rPr>
            <w:rFonts w:ascii="Cambria Math" w:hAnsi="Cambria Math"/>
            <w:sz w:val="20"/>
            <w:szCs w:val="20"/>
            <w:lang w:val="en-GB"/>
          </w:rPr>
          <m:t>N</m:t>
        </m:r>
      </m:oMath>
      <w:r w:rsidR="009C40B4" w:rsidRPr="007B4EE5">
        <w:rPr>
          <w:sz w:val="20"/>
          <w:szCs w:val="20"/>
          <w:lang w:val="en-GB"/>
        </w:rPr>
        <w:t xml:space="preserve"> is the FFT size, and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1E55BC">
        <w:rPr>
          <w:sz w:val="20"/>
          <w:szCs w:val="20"/>
          <w:lang w:val="en-GB"/>
        </w:rPr>
        <w:t xml:space="preserve"> is the </w:t>
      </w:r>
      <w:r w:rsidR="009C40B4" w:rsidRPr="007B4EE5">
        <w:rPr>
          <w:sz w:val="20"/>
          <w:szCs w:val="20"/>
          <w:lang w:val="en-GB"/>
        </w:rPr>
        <w:t xml:space="preserve">cyclic </w:t>
      </w:r>
      <w:r w:rsidR="001E55BC">
        <w:rPr>
          <w:sz w:val="20"/>
          <w:szCs w:val="20"/>
          <w:lang w:val="en-GB"/>
        </w:rPr>
        <w:t>delay value</w:t>
      </w:r>
      <w:r w:rsidR="009C40B4" w:rsidRPr="007B4EE5">
        <w:rPr>
          <w:sz w:val="20"/>
          <w:szCs w:val="20"/>
          <w:lang w:val="en-GB"/>
        </w:rPr>
        <w:t xml:space="preserve"> in time</w:t>
      </w:r>
      <w:r w:rsidR="009C40B4">
        <w:rPr>
          <w:sz w:val="20"/>
          <w:szCs w:val="20"/>
          <w:lang w:val="en-GB"/>
        </w:rPr>
        <w:t xml:space="preserve">. </w:t>
      </w:r>
      <w:r w:rsidR="001E55BC">
        <w:rPr>
          <w:sz w:val="20"/>
          <w:szCs w:val="20"/>
          <w:lang w:val="en-GB"/>
        </w:rPr>
        <w:t xml:space="preserve">The selection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1E55BC">
        <w:rPr>
          <w:sz w:val="20"/>
          <w:szCs w:val="20"/>
          <w:lang w:val="en-GB"/>
        </w:rPr>
        <w:t xml:space="preserve"> is a trade-off between the improved frequency selectivity and the performance of channel estimation. On</w:t>
      </w:r>
      <w:r w:rsidR="001E55BC" w:rsidRPr="001E55BC">
        <w:rPr>
          <w:sz w:val="20"/>
          <w:szCs w:val="20"/>
          <w:lang w:val="en-GB"/>
        </w:rPr>
        <w:t xml:space="preserve"> one hand,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1E55BC">
        <w:rPr>
          <w:sz w:val="20"/>
          <w:szCs w:val="20"/>
          <w:lang w:val="en-GB"/>
        </w:rPr>
        <w:t xml:space="preserve"> should not be too large so that</w:t>
      </w:r>
      <w:r w:rsidR="001E55BC" w:rsidRPr="001E55BC">
        <w:rPr>
          <w:sz w:val="20"/>
          <w:szCs w:val="20"/>
          <w:lang w:val="en-GB"/>
        </w:rPr>
        <w:t xml:space="preserve"> </w:t>
      </w:r>
      <w:r w:rsidR="00AD2B64">
        <w:rPr>
          <w:sz w:val="20"/>
          <w:szCs w:val="20"/>
          <w:lang w:val="en-GB"/>
        </w:rPr>
        <w:t xml:space="preserve">the </w:t>
      </w:r>
      <w:r w:rsidR="001E55BC">
        <w:rPr>
          <w:sz w:val="20"/>
          <w:szCs w:val="20"/>
          <w:lang w:val="en-GB"/>
        </w:rPr>
        <w:t>one-port DMRS of PSCCH</w:t>
      </w:r>
      <w:r w:rsidR="001E55BC" w:rsidRPr="001E55BC">
        <w:rPr>
          <w:sz w:val="20"/>
          <w:szCs w:val="20"/>
          <w:lang w:val="en-GB"/>
        </w:rPr>
        <w:t xml:space="preserve"> </w:t>
      </w:r>
      <w:r w:rsidR="00AD2B64">
        <w:rPr>
          <w:sz w:val="20"/>
          <w:szCs w:val="20"/>
          <w:lang w:val="en-GB"/>
        </w:rPr>
        <w:t>is</w:t>
      </w:r>
      <w:r w:rsidR="001E55BC" w:rsidRPr="001E55BC">
        <w:rPr>
          <w:sz w:val="20"/>
          <w:szCs w:val="20"/>
          <w:lang w:val="en-GB"/>
        </w:rPr>
        <w:t xml:space="preserve"> still </w:t>
      </w:r>
      <w:r w:rsidR="00AD2B64">
        <w:rPr>
          <w:sz w:val="20"/>
          <w:szCs w:val="20"/>
          <w:lang w:val="en-GB"/>
        </w:rPr>
        <w:t>valid</w:t>
      </w:r>
      <w:r w:rsidR="001E55BC" w:rsidRPr="001E55BC">
        <w:rPr>
          <w:sz w:val="20"/>
          <w:szCs w:val="20"/>
          <w:lang w:val="en-GB"/>
        </w:rPr>
        <w:t xml:space="preserve"> and the corresponding channel estimation will not be degraded significantly; on the other hand,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should not be </w:t>
      </w:r>
      <w:r w:rsidR="001E55BC" w:rsidRPr="001E55BC">
        <w:rPr>
          <w:sz w:val="20"/>
          <w:szCs w:val="20"/>
          <w:lang w:val="en-GB"/>
        </w:rPr>
        <w:t xml:space="preserve">too small </w:t>
      </w:r>
      <w:r w:rsidR="00AD2B64">
        <w:rPr>
          <w:sz w:val="20"/>
          <w:szCs w:val="20"/>
          <w:lang w:val="en-GB"/>
        </w:rPr>
        <w:t>so that</w:t>
      </w:r>
      <w:r w:rsidR="001E55BC" w:rsidRPr="001E55BC">
        <w:rPr>
          <w:sz w:val="20"/>
          <w:szCs w:val="20"/>
          <w:lang w:val="en-GB"/>
        </w:rPr>
        <w:t xml:space="preserve"> enough frequency selectivity can be added.</w:t>
      </w:r>
      <w:r w:rsidR="00AD2B64">
        <w:rPr>
          <w:sz w:val="20"/>
          <w:szCs w:val="20"/>
          <w:lang w:val="en-GB"/>
        </w:rPr>
        <w:t xml:space="preserve"> In addition, an appropriate value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also depends on the delay spread of the physical channel. Hence, we think that the exact value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should be left for UE implementation, which can bring flexibility according to physical channel conditions. However, an upper bound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should be pre-configured such that the performance of channel estimation will not be degraded significantly; and a lower bound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should be pre-configured such that the </w:t>
      </w:r>
      <w:r w:rsidR="00784422">
        <w:rPr>
          <w:sz w:val="20"/>
          <w:szCs w:val="20"/>
          <w:lang w:val="en-GB"/>
        </w:rPr>
        <w:t>diversity gain introduced by frequency selectivity is still at a decent level.</w:t>
      </w:r>
    </w:p>
    <w:p w14:paraId="1844C133" w14:textId="77777777" w:rsidR="0069038F" w:rsidRDefault="0069038F" w:rsidP="0069038F">
      <w:pPr>
        <w:pStyle w:val="BodyText"/>
        <w:spacing w:before="240" w:after="240"/>
        <w:jc w:val="center"/>
        <w:rPr>
          <w:sz w:val="20"/>
          <w:szCs w:val="20"/>
          <w:lang w:val="en-GB"/>
        </w:rPr>
      </w:pPr>
      <w:r>
        <w:rPr>
          <w:noProof/>
          <w:sz w:val="20"/>
          <w:szCs w:val="20"/>
        </w:rPr>
        <w:drawing>
          <wp:inline distT="0" distB="0" distL="0" distR="0" wp14:anchorId="45BFFB9F" wp14:editId="7124E1D8">
            <wp:extent cx="3124200" cy="17226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DD_transparent.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34338" cy="1728268"/>
                    </a:xfrm>
                    <a:prstGeom prst="rect">
                      <a:avLst/>
                    </a:prstGeom>
                  </pic:spPr>
                </pic:pic>
              </a:graphicData>
            </a:graphic>
          </wp:inline>
        </w:drawing>
      </w:r>
    </w:p>
    <w:p w14:paraId="20B47382" w14:textId="0F357C17" w:rsidR="0069038F" w:rsidRPr="00123520" w:rsidRDefault="0069038F" w:rsidP="0069038F">
      <w:pPr>
        <w:pStyle w:val="Caption"/>
        <w:jc w:val="center"/>
        <w:rPr>
          <w:b w:val="0"/>
        </w:rPr>
      </w:pPr>
      <w:bookmarkStart w:id="5" w:name="_Ref477772686"/>
      <w:r w:rsidRPr="00123520">
        <w:rPr>
          <w:b w:val="0"/>
        </w:rPr>
        <w:t xml:space="preserve">Figure </w:t>
      </w:r>
      <w:r w:rsidRPr="00123520">
        <w:rPr>
          <w:b w:val="0"/>
        </w:rPr>
        <w:fldChar w:fldCharType="begin"/>
      </w:r>
      <w:r w:rsidRPr="00123520">
        <w:rPr>
          <w:b w:val="0"/>
        </w:rPr>
        <w:instrText xml:space="preserve"> SEQ Figure \* ARABIC </w:instrText>
      </w:r>
      <w:r w:rsidRPr="00123520">
        <w:rPr>
          <w:b w:val="0"/>
        </w:rPr>
        <w:fldChar w:fldCharType="separate"/>
      </w:r>
      <w:r w:rsidR="007D58D3">
        <w:rPr>
          <w:b w:val="0"/>
          <w:noProof/>
        </w:rPr>
        <w:t>1</w:t>
      </w:r>
      <w:r w:rsidRPr="00123520">
        <w:rPr>
          <w:b w:val="0"/>
        </w:rPr>
        <w:fldChar w:fldCharType="end"/>
      </w:r>
      <w:bookmarkEnd w:id="5"/>
      <w:r w:rsidRPr="00123520">
        <w:rPr>
          <w:b w:val="0"/>
        </w:rPr>
        <w:t>. Frequency implementation of transparent CDD</w:t>
      </w:r>
    </w:p>
    <w:p w14:paraId="40F5B1EE" w14:textId="77777777" w:rsidR="00C46982" w:rsidRPr="00EA2981" w:rsidRDefault="00C46982" w:rsidP="00C46982">
      <w:pPr>
        <w:pStyle w:val="BodyText"/>
        <w:spacing w:after="240"/>
        <w:jc w:val="both"/>
        <w:rPr>
          <w:b/>
          <w:i/>
          <w:sz w:val="20"/>
          <w:szCs w:val="20"/>
        </w:rPr>
      </w:pPr>
      <w:r w:rsidRPr="00EA2981">
        <w:rPr>
          <w:b/>
          <w:i/>
          <w:sz w:val="20"/>
          <w:szCs w:val="20"/>
        </w:rPr>
        <w:t xml:space="preserve">Proposal 1: </w:t>
      </w:r>
    </w:p>
    <w:p w14:paraId="3E949AD4" w14:textId="0DCD2C3A" w:rsidR="005D0287" w:rsidRPr="00EA2981" w:rsidRDefault="00B369A1" w:rsidP="00CC2D84">
      <w:pPr>
        <w:numPr>
          <w:ilvl w:val="0"/>
          <w:numId w:val="13"/>
        </w:numPr>
        <w:spacing w:after="0"/>
        <w:rPr>
          <w:b/>
          <w:i/>
          <w:lang w:val="en-US"/>
        </w:rPr>
      </w:pPr>
      <w:r w:rsidRPr="00EA2981">
        <w:rPr>
          <w:b/>
          <w:i/>
          <w:lang w:val="en-US"/>
        </w:rPr>
        <w:t>For PSCCH, the cyclic delay value applied to s</w:t>
      </w:r>
      <w:r w:rsidR="000378EE" w:rsidRPr="00EA2981">
        <w:rPr>
          <w:b/>
          <w:i/>
          <w:lang w:val="en-US"/>
        </w:rPr>
        <w:t>mall delay</w:t>
      </w:r>
      <w:r w:rsidRPr="00EA2981">
        <w:rPr>
          <w:b/>
          <w:i/>
          <w:lang w:val="en-US"/>
        </w:rPr>
        <w:t xml:space="preserve"> CDD</w:t>
      </w:r>
      <w:r w:rsidR="000378EE" w:rsidRPr="00EA2981">
        <w:rPr>
          <w:b/>
          <w:i/>
          <w:lang w:val="en-US"/>
        </w:rPr>
        <w:t xml:space="preserve"> </w:t>
      </w:r>
      <w:r w:rsidRPr="00EA2981">
        <w:rPr>
          <w:b/>
          <w:i/>
          <w:lang w:val="en-US"/>
        </w:rPr>
        <w:t>is left for UE implementation</w:t>
      </w:r>
      <w:r w:rsidR="005D0287" w:rsidRPr="00EA2981">
        <w:rPr>
          <w:b/>
          <w:i/>
          <w:lang w:val="en-US"/>
        </w:rPr>
        <w:t>.</w:t>
      </w:r>
      <w:r w:rsidRPr="00EA2981">
        <w:rPr>
          <w:b/>
          <w:i/>
          <w:lang w:val="en-US"/>
        </w:rPr>
        <w:t xml:space="preserve"> However, an upper bound and a lower bound of the used cyclic delay value are </w:t>
      </w:r>
      <w:r w:rsidR="009256D3" w:rsidRPr="00EA2981">
        <w:rPr>
          <w:b/>
          <w:i/>
          <w:lang w:val="en-US"/>
        </w:rPr>
        <w:t>(</w:t>
      </w:r>
      <w:r w:rsidRPr="00EA2981">
        <w:rPr>
          <w:b/>
          <w:i/>
          <w:lang w:val="en-US"/>
        </w:rPr>
        <w:t>pre-</w:t>
      </w:r>
      <w:r w:rsidR="009256D3" w:rsidRPr="00EA2981">
        <w:rPr>
          <w:b/>
          <w:i/>
          <w:lang w:val="en-US"/>
        </w:rPr>
        <w:t>)</w:t>
      </w:r>
      <w:r w:rsidRPr="00EA2981">
        <w:rPr>
          <w:b/>
          <w:i/>
          <w:lang w:val="en-US"/>
        </w:rPr>
        <w:t>configured.</w:t>
      </w:r>
    </w:p>
    <w:p w14:paraId="6A5BAB09" w14:textId="1C0A8878" w:rsidR="00426899" w:rsidRDefault="002501D9" w:rsidP="007B6B69">
      <w:pPr>
        <w:pStyle w:val="Heading1"/>
      </w:pPr>
      <w:r w:rsidRPr="00EA2981">
        <w:t>Transmit diversity for PSSCH transmission</w:t>
      </w:r>
    </w:p>
    <w:p w14:paraId="4932381B" w14:textId="5F1807BB" w:rsidR="009A42CC" w:rsidRDefault="009A42CC" w:rsidP="009A42CC">
      <w:pPr>
        <w:pStyle w:val="Heading2"/>
      </w:pPr>
      <w:r>
        <w:t>Restrictions on the use of non-transparent TxD</w:t>
      </w:r>
    </w:p>
    <w:p w14:paraId="2EEBA8A4" w14:textId="77777777" w:rsidR="009A42CC" w:rsidRPr="00A07604" w:rsidRDefault="009A42CC" w:rsidP="009A42CC">
      <w:pPr>
        <w:spacing w:after="0"/>
      </w:pPr>
      <w:r w:rsidRPr="00842C9C">
        <w:t>As captured above, RAN1 has agreed on restricting the utilization of</w:t>
      </w:r>
      <w:r>
        <w:t xml:space="preserve"> non-transparent</w:t>
      </w:r>
      <w:r w:rsidRPr="00842C9C">
        <w:t xml:space="preserve"> transmit diversity in two cases</w:t>
      </w:r>
      <w:r w:rsidRPr="00A07604">
        <w:t>:</w:t>
      </w:r>
    </w:p>
    <w:p w14:paraId="21B15BDE" w14:textId="77777777" w:rsidR="009A42CC" w:rsidRPr="00842C9C" w:rsidRDefault="009A42CC" w:rsidP="009A42CC">
      <w:pPr>
        <w:pStyle w:val="ListParagraph"/>
        <w:numPr>
          <w:ilvl w:val="0"/>
          <w:numId w:val="8"/>
        </w:numPr>
        <w:spacing w:before="240"/>
      </w:pPr>
      <w:r w:rsidRPr="006E39CD">
        <w:rPr>
          <w:rFonts w:ascii="Times New Roman" w:hAnsi="Times New Roman" w:cs="Times New Roman"/>
          <w:sz w:val="20"/>
          <w:szCs w:val="20"/>
        </w:rPr>
        <w:t>When communicating with Rel-14 UEs</w:t>
      </w:r>
      <w:r>
        <w:rPr>
          <w:rFonts w:ascii="Times New Roman" w:hAnsi="Times New Roman" w:cs="Times New Roman"/>
          <w:sz w:val="20"/>
          <w:szCs w:val="20"/>
        </w:rPr>
        <w:t>.</w:t>
      </w:r>
    </w:p>
    <w:p w14:paraId="2C1E27A5" w14:textId="77777777" w:rsidR="009A42CC" w:rsidRPr="006E39CD" w:rsidRDefault="009A42CC" w:rsidP="009A42CC">
      <w:pPr>
        <w:pStyle w:val="ListParagraph"/>
        <w:numPr>
          <w:ilvl w:val="0"/>
          <w:numId w:val="8"/>
        </w:numPr>
        <w:rPr>
          <w:sz w:val="20"/>
          <w:szCs w:val="20"/>
        </w:rPr>
      </w:pPr>
      <w:r w:rsidRPr="006E39CD">
        <w:rPr>
          <w:rFonts w:ascii="Times New Roman" w:hAnsi="Times New Roman" w:cs="Times New Roman"/>
          <w:sz w:val="20"/>
          <w:szCs w:val="20"/>
        </w:rPr>
        <w:lastRenderedPageBreak/>
        <w:t>When there is a high probability of resource collision with Rel-14 UEs</w:t>
      </w:r>
      <w:r>
        <w:rPr>
          <w:rFonts w:ascii="Times New Roman" w:hAnsi="Times New Roman" w:cs="Times New Roman"/>
          <w:sz w:val="20"/>
          <w:szCs w:val="20"/>
        </w:rPr>
        <w:t>.</w:t>
      </w:r>
    </w:p>
    <w:p w14:paraId="1BE3B02C" w14:textId="3F8E7DD9" w:rsidR="009A42CC" w:rsidRDefault="00AC0163" w:rsidP="009A42CC">
      <w:pPr>
        <w:spacing w:before="240"/>
        <w:jc w:val="both"/>
      </w:pPr>
      <w:r>
        <w:t xml:space="preserve">The former case is to enable a Rel-14 UE to correctly decode a packet, and the latter case is to reduce the impacts on Rel-14 UEs with IRC receivers. </w:t>
      </w:r>
      <w:r w:rsidR="00F63CB8">
        <w:t xml:space="preserve">Note that the impacts will only play a role for Rel-14 IRC receivers, since </w:t>
      </w:r>
      <w:r w:rsidR="00990A61">
        <w:t>more efficient</w:t>
      </w:r>
      <w:r w:rsidR="00F63CB8">
        <w:t xml:space="preserve"> IRC receivers can be applied to Rel-15 UEs as explained </w:t>
      </w:r>
      <w:r w:rsidR="00F63CB8" w:rsidRPr="00A17A98">
        <w:t>in our companion contribution</w:t>
      </w:r>
      <w:r w:rsidR="00F63CB8">
        <w:t xml:space="preserve"> </w:t>
      </w:r>
      <w:r w:rsidR="00F63CB8">
        <w:fldChar w:fldCharType="begin"/>
      </w:r>
      <w:r w:rsidR="00F63CB8">
        <w:instrText xml:space="preserve"> REF _Ref494462115 \n \h </w:instrText>
      </w:r>
      <w:r w:rsidR="00F63CB8">
        <w:fldChar w:fldCharType="separate"/>
      </w:r>
      <w:r w:rsidR="00F63CB8">
        <w:t>[</w:t>
      </w:r>
      <w:r w:rsidR="00413C07">
        <w:t>8</w:t>
      </w:r>
      <w:r w:rsidR="00F63CB8">
        <w:t>]</w:t>
      </w:r>
      <w:r w:rsidR="00F63CB8">
        <w:fldChar w:fldCharType="end"/>
      </w:r>
      <w:r w:rsidR="00F63CB8">
        <w:t>.</w:t>
      </w:r>
      <w:r w:rsidR="007A5FFD">
        <w:t xml:space="preserve"> </w:t>
      </w:r>
      <w:r w:rsidR="00F63CB8">
        <w:t>Hence, in our view, there are limitations on the application of non-transparent TxD.</w:t>
      </w:r>
      <w:r w:rsidR="00AE3642">
        <w:t xml:space="preserve"> More specifically</w:t>
      </w:r>
      <w:r w:rsidR="00F63CB8">
        <w:t xml:space="preserve">, </w:t>
      </w:r>
      <w:r w:rsidR="009A42CC">
        <w:t xml:space="preserve">the choice of transmit diversity scheme depends on two aspects </w:t>
      </w:r>
      <w:r w:rsidR="009A42CC">
        <w:fldChar w:fldCharType="begin"/>
      </w:r>
      <w:r w:rsidR="009A42CC">
        <w:instrText xml:space="preserve"> REF _Ref506533090 \r \h </w:instrText>
      </w:r>
      <w:r w:rsidR="009A42CC">
        <w:fldChar w:fldCharType="separate"/>
      </w:r>
      <w:r w:rsidR="009A42CC">
        <w:t>[1</w:t>
      </w:r>
      <w:r w:rsidR="00413C07">
        <w:t>1</w:t>
      </w:r>
      <w:r w:rsidR="009A42CC">
        <w:t>]</w:t>
      </w:r>
      <w:r w:rsidR="009A42CC">
        <w:fldChar w:fldCharType="end"/>
      </w:r>
      <w:r w:rsidR="009A42CC">
        <w:t>:</w:t>
      </w:r>
    </w:p>
    <w:p w14:paraId="08EA498D" w14:textId="77777777" w:rsidR="009A42CC" w:rsidRPr="00842C9C" w:rsidRDefault="009A42CC" w:rsidP="009A42CC">
      <w:pPr>
        <w:pStyle w:val="ListParagraph"/>
        <w:numPr>
          <w:ilvl w:val="0"/>
          <w:numId w:val="8"/>
        </w:numPr>
        <w:jc w:val="both"/>
      </w:pPr>
      <w:r w:rsidRPr="006E39CD">
        <w:rPr>
          <w:rFonts w:ascii="Times New Roman" w:hAnsi="Times New Roman" w:cs="Times New Roman"/>
          <w:sz w:val="20"/>
          <w:szCs w:val="20"/>
        </w:rPr>
        <w:t>Higher layers (RAN2) are aware of the service associated with the packet</w:t>
      </w:r>
      <w:r>
        <w:rPr>
          <w:rFonts w:ascii="Times New Roman" w:hAnsi="Times New Roman" w:cs="Times New Roman"/>
          <w:sz w:val="20"/>
          <w:szCs w:val="20"/>
        </w:rPr>
        <w:t xml:space="preserve"> and whether transmit diversity is supported for that packet.</w:t>
      </w:r>
    </w:p>
    <w:p w14:paraId="1F14573A" w14:textId="77777777" w:rsidR="009A42CC" w:rsidRPr="00434A44" w:rsidRDefault="009A42CC" w:rsidP="009A42CC">
      <w:pPr>
        <w:pStyle w:val="ListParagraph"/>
        <w:numPr>
          <w:ilvl w:val="0"/>
          <w:numId w:val="8"/>
        </w:numPr>
        <w:jc w:val="both"/>
        <w:rPr>
          <w:rFonts w:ascii="Times New Roman" w:hAnsi="Times New Roman" w:cs="Times New Roman"/>
          <w:sz w:val="20"/>
          <w:szCs w:val="20"/>
        </w:rPr>
      </w:pPr>
      <w:r w:rsidRPr="006E39CD">
        <w:rPr>
          <w:rFonts w:ascii="Times New Roman" w:hAnsi="Times New Roman" w:cs="Times New Roman"/>
          <w:sz w:val="20"/>
          <w:szCs w:val="20"/>
        </w:rPr>
        <w:t xml:space="preserve">The PHY layer encodes the TB using </w:t>
      </w:r>
      <w:r>
        <w:rPr>
          <w:rFonts w:ascii="Times New Roman" w:hAnsi="Times New Roman" w:cs="Times New Roman"/>
          <w:sz w:val="20"/>
          <w:szCs w:val="20"/>
        </w:rPr>
        <w:t>transmit diversity if it is supported by the service and there are no further restrictions on the use of</w:t>
      </w:r>
      <w:r w:rsidRPr="00434A44">
        <w:rPr>
          <w:rFonts w:ascii="Times New Roman" w:hAnsi="Times New Roman" w:cs="Times New Roman"/>
          <w:sz w:val="20"/>
          <w:szCs w:val="20"/>
        </w:rPr>
        <w:t xml:space="preserve"> transmit diversity. </w:t>
      </w:r>
    </w:p>
    <w:p w14:paraId="6A631DF7" w14:textId="77777777" w:rsidR="009A42CC" w:rsidRPr="00C3081F" w:rsidRDefault="009A42CC" w:rsidP="009A42CC">
      <w:pPr>
        <w:pStyle w:val="ListParagraph"/>
        <w:numPr>
          <w:ilvl w:val="1"/>
          <w:numId w:val="8"/>
        </w:numPr>
        <w:jc w:val="both"/>
        <w:rPr>
          <w:rFonts w:ascii="Times New Roman" w:hAnsi="Times New Roman" w:cs="Times New Roman"/>
          <w:sz w:val="20"/>
          <w:szCs w:val="20"/>
        </w:rPr>
      </w:pPr>
      <w:r w:rsidRPr="00C3081F">
        <w:rPr>
          <w:rFonts w:ascii="Times New Roman" w:hAnsi="Times New Roman" w:cs="Times New Roman"/>
          <w:sz w:val="20"/>
          <w:szCs w:val="20"/>
        </w:rPr>
        <w:t xml:space="preserve">One TB may contain data from multiple LCIDs but all belonging to the same service. </w:t>
      </w:r>
    </w:p>
    <w:p w14:paraId="77817B06" w14:textId="77777777" w:rsidR="009A42CC" w:rsidRPr="00842C9C" w:rsidRDefault="009A42CC" w:rsidP="009A42CC">
      <w:pPr>
        <w:spacing w:before="240"/>
        <w:rPr>
          <w:b/>
          <w:i/>
        </w:rPr>
      </w:pPr>
      <w:bookmarkStart w:id="6" w:name="_Hlk506469250"/>
      <w:r w:rsidRPr="006E39CD">
        <w:rPr>
          <w:b/>
          <w:i/>
        </w:rPr>
        <w:t>Observation</w:t>
      </w:r>
      <w:r w:rsidRPr="00842C9C">
        <w:rPr>
          <w:b/>
          <w:i/>
        </w:rPr>
        <w:t xml:space="preserve"> 1</w:t>
      </w:r>
      <w:r w:rsidRPr="006E39CD">
        <w:rPr>
          <w:b/>
          <w:i/>
        </w:rPr>
        <w:t>:</w:t>
      </w:r>
    </w:p>
    <w:p w14:paraId="3D597D68" w14:textId="2AFB4EF0" w:rsidR="009A42CC" w:rsidRPr="006E39CD" w:rsidRDefault="009A42CC" w:rsidP="009A42CC">
      <w:pPr>
        <w:pStyle w:val="ListParagraph"/>
        <w:numPr>
          <w:ilvl w:val="0"/>
          <w:numId w:val="18"/>
        </w:numPr>
        <w:spacing w:before="240"/>
        <w:rPr>
          <w:b/>
          <w:i/>
          <w:sz w:val="20"/>
          <w:szCs w:val="20"/>
        </w:rPr>
      </w:pPr>
      <w:r>
        <w:rPr>
          <w:rFonts w:ascii="Times New Roman" w:hAnsi="Times New Roman" w:cs="Times New Roman"/>
          <w:b/>
          <w:i/>
          <w:sz w:val="20"/>
          <w:szCs w:val="20"/>
        </w:rPr>
        <w:t>Higher layers are aware of the V2X service associated with a packet and whether</w:t>
      </w:r>
      <w:r w:rsidR="00AF5DE5">
        <w:rPr>
          <w:rFonts w:ascii="Times New Roman" w:hAnsi="Times New Roman" w:cs="Times New Roman"/>
          <w:b/>
          <w:i/>
          <w:sz w:val="20"/>
          <w:szCs w:val="20"/>
        </w:rPr>
        <w:t xml:space="preserve"> non-transparent</w:t>
      </w:r>
      <w:r>
        <w:rPr>
          <w:rFonts w:ascii="Times New Roman" w:hAnsi="Times New Roman" w:cs="Times New Roman"/>
          <w:b/>
          <w:i/>
          <w:sz w:val="20"/>
          <w:szCs w:val="20"/>
        </w:rPr>
        <w:t xml:space="preserve"> transmit diversity is supported for that packet or not.</w:t>
      </w:r>
    </w:p>
    <w:p w14:paraId="2D2CCBBC" w14:textId="2D4313D6" w:rsidR="009A42CC" w:rsidRPr="00D112B3" w:rsidRDefault="009A42CC" w:rsidP="009A42CC">
      <w:pPr>
        <w:spacing w:before="240"/>
        <w:rPr>
          <w:b/>
          <w:i/>
        </w:rPr>
      </w:pPr>
      <w:r w:rsidRPr="00D112B3">
        <w:rPr>
          <w:b/>
          <w:i/>
        </w:rPr>
        <w:t xml:space="preserve">Proposal </w:t>
      </w:r>
      <w:r w:rsidR="00AE3642">
        <w:rPr>
          <w:b/>
          <w:i/>
        </w:rPr>
        <w:t>2</w:t>
      </w:r>
      <w:r w:rsidRPr="00D112B3">
        <w:rPr>
          <w:b/>
          <w:i/>
        </w:rPr>
        <w:t>:</w:t>
      </w:r>
    </w:p>
    <w:p w14:paraId="2A90B3AE" w14:textId="3ABC8140" w:rsidR="009A42CC" w:rsidRDefault="009A42CC" w:rsidP="009A42CC">
      <w:pPr>
        <w:pStyle w:val="ListParagraph"/>
        <w:numPr>
          <w:ilvl w:val="0"/>
          <w:numId w:val="18"/>
        </w:numPr>
        <w:rPr>
          <w:rFonts w:ascii="Times New Roman" w:hAnsi="Times New Roman" w:cs="Times New Roman"/>
          <w:b/>
          <w:i/>
          <w:sz w:val="20"/>
          <w:szCs w:val="20"/>
        </w:rPr>
      </w:pPr>
      <w:r w:rsidRPr="00C3081F">
        <w:rPr>
          <w:rFonts w:ascii="Times New Roman" w:hAnsi="Times New Roman" w:cs="Times New Roman"/>
          <w:b/>
          <w:i/>
          <w:sz w:val="20"/>
          <w:szCs w:val="20"/>
        </w:rPr>
        <w:t xml:space="preserve">PHY uses </w:t>
      </w:r>
      <w:r w:rsidR="00AF5DE5">
        <w:rPr>
          <w:rFonts w:ascii="Times New Roman" w:hAnsi="Times New Roman" w:cs="Times New Roman"/>
          <w:b/>
          <w:i/>
          <w:sz w:val="20"/>
          <w:szCs w:val="20"/>
        </w:rPr>
        <w:t xml:space="preserve">non-transparent </w:t>
      </w:r>
      <w:r w:rsidRPr="00C3081F">
        <w:rPr>
          <w:rFonts w:ascii="Times New Roman" w:hAnsi="Times New Roman" w:cs="Times New Roman"/>
          <w:b/>
          <w:i/>
          <w:sz w:val="20"/>
          <w:szCs w:val="20"/>
        </w:rPr>
        <w:t>transmit diversity for encoding a TB if</w:t>
      </w:r>
      <w:r>
        <w:rPr>
          <w:rFonts w:ascii="Times New Roman" w:hAnsi="Times New Roman" w:cs="Times New Roman"/>
          <w:b/>
          <w:i/>
          <w:sz w:val="20"/>
          <w:szCs w:val="20"/>
        </w:rPr>
        <w:t xml:space="preserve"> the following two conditions hold:</w:t>
      </w:r>
    </w:p>
    <w:p w14:paraId="0C49DF86" w14:textId="7798847F" w:rsidR="009A42CC" w:rsidRDefault="009A42CC" w:rsidP="009A42CC">
      <w:pPr>
        <w:pStyle w:val="ListParagraph"/>
        <w:numPr>
          <w:ilvl w:val="1"/>
          <w:numId w:val="18"/>
        </w:numPr>
        <w:rPr>
          <w:rFonts w:ascii="Times New Roman" w:hAnsi="Times New Roman" w:cs="Times New Roman"/>
          <w:b/>
          <w:i/>
          <w:sz w:val="20"/>
          <w:szCs w:val="20"/>
        </w:rPr>
      </w:pPr>
      <w:r>
        <w:rPr>
          <w:rFonts w:ascii="Times New Roman" w:hAnsi="Times New Roman" w:cs="Times New Roman"/>
          <w:b/>
          <w:i/>
          <w:sz w:val="20"/>
          <w:szCs w:val="20"/>
        </w:rPr>
        <w:t>The service associated with the TB allows the use of</w:t>
      </w:r>
      <w:r w:rsidR="00AF5DE5">
        <w:rPr>
          <w:rFonts w:ascii="Times New Roman" w:hAnsi="Times New Roman" w:cs="Times New Roman"/>
          <w:b/>
          <w:i/>
          <w:sz w:val="20"/>
          <w:szCs w:val="20"/>
        </w:rPr>
        <w:t xml:space="preserve"> non-transparent</w:t>
      </w:r>
      <w:r>
        <w:rPr>
          <w:rFonts w:ascii="Times New Roman" w:hAnsi="Times New Roman" w:cs="Times New Roman"/>
          <w:b/>
          <w:i/>
          <w:sz w:val="20"/>
          <w:szCs w:val="20"/>
        </w:rPr>
        <w:t xml:space="preserve"> transmit diversity.</w:t>
      </w:r>
    </w:p>
    <w:p w14:paraId="0910CBD5" w14:textId="302BB51C" w:rsidR="009A42CC" w:rsidRDefault="009A42CC" w:rsidP="009A42CC">
      <w:pPr>
        <w:pStyle w:val="ListParagraph"/>
        <w:numPr>
          <w:ilvl w:val="1"/>
          <w:numId w:val="18"/>
        </w:numPr>
        <w:rPr>
          <w:rFonts w:ascii="Times New Roman" w:hAnsi="Times New Roman" w:cs="Times New Roman"/>
          <w:b/>
          <w:i/>
          <w:sz w:val="20"/>
          <w:szCs w:val="20"/>
        </w:rPr>
      </w:pPr>
      <w:r>
        <w:rPr>
          <w:rFonts w:ascii="Times New Roman" w:hAnsi="Times New Roman" w:cs="Times New Roman"/>
          <w:b/>
          <w:i/>
          <w:sz w:val="20"/>
          <w:szCs w:val="20"/>
        </w:rPr>
        <w:t>There are no PHY-layer restrictions on the use of</w:t>
      </w:r>
      <w:r w:rsidR="00AF5DE5">
        <w:rPr>
          <w:rFonts w:ascii="Times New Roman" w:hAnsi="Times New Roman" w:cs="Times New Roman"/>
          <w:b/>
          <w:i/>
          <w:sz w:val="20"/>
          <w:szCs w:val="20"/>
        </w:rPr>
        <w:t xml:space="preserve"> non-transparent</w:t>
      </w:r>
      <w:r>
        <w:rPr>
          <w:rFonts w:ascii="Times New Roman" w:hAnsi="Times New Roman" w:cs="Times New Roman"/>
          <w:b/>
          <w:i/>
          <w:sz w:val="20"/>
          <w:szCs w:val="20"/>
        </w:rPr>
        <w:t xml:space="preserve"> transmit diversity.</w:t>
      </w:r>
    </w:p>
    <w:p w14:paraId="64686E0A" w14:textId="336C3334" w:rsidR="009A42CC" w:rsidRDefault="009A42CC" w:rsidP="009A42CC">
      <w:pPr>
        <w:pStyle w:val="BodyText"/>
        <w:spacing w:before="240" w:after="240"/>
        <w:jc w:val="both"/>
        <w:rPr>
          <w:sz w:val="20"/>
          <w:szCs w:val="20"/>
        </w:rPr>
      </w:pPr>
      <w:r>
        <w:rPr>
          <w:sz w:val="20"/>
          <w:szCs w:val="20"/>
        </w:rPr>
        <w:t xml:space="preserve">As per current agreements, </w:t>
      </w:r>
      <w:r w:rsidRPr="005B2244">
        <w:rPr>
          <w:sz w:val="20"/>
          <w:szCs w:val="20"/>
        </w:rPr>
        <w:t xml:space="preserve">the PHY layer should be </w:t>
      </w:r>
      <w:r>
        <w:rPr>
          <w:sz w:val="20"/>
          <w:szCs w:val="20"/>
        </w:rPr>
        <w:t>responsible for</w:t>
      </w:r>
      <w:r w:rsidRPr="005B2244">
        <w:rPr>
          <w:sz w:val="20"/>
          <w:szCs w:val="20"/>
        </w:rPr>
        <w:t xml:space="preserve"> applying further restrictions under high load of Rel-14 UEs</w:t>
      </w:r>
      <w:r>
        <w:rPr>
          <w:sz w:val="20"/>
          <w:szCs w:val="20"/>
        </w:rPr>
        <w:t xml:space="preserve"> or high probability of resource collision with Rel-14 UEs</w:t>
      </w:r>
      <w:r w:rsidRPr="005B2244">
        <w:rPr>
          <w:sz w:val="20"/>
          <w:szCs w:val="20"/>
        </w:rPr>
        <w:t xml:space="preserve">. </w:t>
      </w:r>
      <w:r>
        <w:rPr>
          <w:sz w:val="20"/>
          <w:szCs w:val="20"/>
        </w:rPr>
        <w:t xml:space="preserve">In our view, there are </w:t>
      </w:r>
      <w:r w:rsidR="00AE3642">
        <w:rPr>
          <w:sz w:val="20"/>
          <w:szCs w:val="20"/>
        </w:rPr>
        <w:t>three</w:t>
      </w:r>
      <w:r>
        <w:rPr>
          <w:sz w:val="20"/>
          <w:szCs w:val="20"/>
        </w:rPr>
        <w:t xml:space="preserve"> possible ways to implement such restrictions:</w:t>
      </w:r>
    </w:p>
    <w:p w14:paraId="1552504D" w14:textId="77777777" w:rsidR="009A42CC" w:rsidRDefault="009A42CC" w:rsidP="009A42CC">
      <w:pPr>
        <w:pStyle w:val="BodyText"/>
        <w:numPr>
          <w:ilvl w:val="0"/>
          <w:numId w:val="23"/>
        </w:numPr>
        <w:spacing w:before="240"/>
        <w:jc w:val="both"/>
        <w:rPr>
          <w:sz w:val="20"/>
          <w:szCs w:val="20"/>
        </w:rPr>
      </w:pPr>
      <w:r>
        <w:rPr>
          <w:sz w:val="20"/>
          <w:szCs w:val="20"/>
        </w:rPr>
        <w:t xml:space="preserve">CBR thresholds. Transmit diversity is allowed only when the measured CBR in a pool is below a certain threshold. </w:t>
      </w:r>
    </w:p>
    <w:p w14:paraId="11DF4536" w14:textId="11663180" w:rsidR="009A42CC" w:rsidRDefault="009A42CC" w:rsidP="009A42CC">
      <w:pPr>
        <w:pStyle w:val="BodyText"/>
        <w:numPr>
          <w:ilvl w:val="0"/>
          <w:numId w:val="23"/>
        </w:numPr>
        <w:jc w:val="both"/>
        <w:rPr>
          <w:sz w:val="20"/>
          <w:szCs w:val="20"/>
        </w:rPr>
      </w:pPr>
      <w:r>
        <w:rPr>
          <w:sz w:val="20"/>
          <w:szCs w:val="20"/>
        </w:rPr>
        <w:t>Comparing the amount of resources containing decoded Rel-14 transmissions to the total number of available resources.</w:t>
      </w:r>
    </w:p>
    <w:p w14:paraId="1885AF6E" w14:textId="22B51BF1" w:rsidR="00AF5DE5" w:rsidRDefault="00AF5DE5" w:rsidP="009A42CC">
      <w:pPr>
        <w:pStyle w:val="BodyText"/>
        <w:numPr>
          <w:ilvl w:val="0"/>
          <w:numId w:val="23"/>
        </w:numPr>
        <w:jc w:val="both"/>
        <w:rPr>
          <w:sz w:val="20"/>
          <w:szCs w:val="20"/>
        </w:rPr>
      </w:pPr>
      <w:r>
        <w:rPr>
          <w:sz w:val="20"/>
          <w:szCs w:val="20"/>
        </w:rPr>
        <w:t>Whether a potential Rel-14 transmission is detected on the selected resource</w:t>
      </w:r>
    </w:p>
    <w:p w14:paraId="3D6ED4AD" w14:textId="4DE6BFD9" w:rsidR="009A42CC" w:rsidRDefault="009A42CC" w:rsidP="009A42CC">
      <w:pPr>
        <w:pStyle w:val="BodyText"/>
        <w:spacing w:before="240" w:after="240"/>
        <w:jc w:val="both"/>
        <w:rPr>
          <w:sz w:val="20"/>
          <w:szCs w:val="20"/>
        </w:rPr>
      </w:pPr>
      <w:r>
        <w:rPr>
          <w:sz w:val="20"/>
          <w:szCs w:val="20"/>
        </w:rPr>
        <w:t>The first option cannot discriminate between Rel-14 and Rel-15 transmissions. In contrast, the second</w:t>
      </w:r>
      <w:r w:rsidR="00AF5DE5">
        <w:rPr>
          <w:sz w:val="20"/>
          <w:szCs w:val="20"/>
        </w:rPr>
        <w:t xml:space="preserve"> and third</w:t>
      </w:r>
      <w:r>
        <w:rPr>
          <w:sz w:val="20"/>
          <w:szCs w:val="20"/>
        </w:rPr>
        <w:t xml:space="preserve"> approach</w:t>
      </w:r>
      <w:r w:rsidR="00AF5DE5">
        <w:rPr>
          <w:sz w:val="20"/>
          <w:szCs w:val="20"/>
        </w:rPr>
        <w:t>es</w:t>
      </w:r>
      <w:r>
        <w:rPr>
          <w:sz w:val="20"/>
          <w:szCs w:val="20"/>
        </w:rPr>
        <w:t xml:space="preserve"> follow closely the existing RAN1 agreement. </w:t>
      </w:r>
    </w:p>
    <w:p w14:paraId="5FE1C331" w14:textId="40458CCF" w:rsidR="009A42CC" w:rsidRPr="006E39CD" w:rsidRDefault="009A42CC" w:rsidP="009A42CC">
      <w:pPr>
        <w:rPr>
          <w:b/>
          <w:i/>
        </w:rPr>
      </w:pPr>
      <w:r w:rsidRPr="006E39CD">
        <w:rPr>
          <w:b/>
          <w:i/>
        </w:rPr>
        <w:t xml:space="preserve">Proposal </w:t>
      </w:r>
      <w:r w:rsidR="00AF5DE5">
        <w:rPr>
          <w:b/>
          <w:i/>
        </w:rPr>
        <w:t>3</w:t>
      </w:r>
      <w:r w:rsidRPr="006E39CD">
        <w:rPr>
          <w:b/>
          <w:i/>
        </w:rPr>
        <w:t>:</w:t>
      </w:r>
    </w:p>
    <w:p w14:paraId="3D072339" w14:textId="461466BB" w:rsidR="00AF5DE5" w:rsidRDefault="00AF5DE5" w:rsidP="009A42CC">
      <w:pPr>
        <w:pStyle w:val="ListParagraph"/>
        <w:numPr>
          <w:ilvl w:val="0"/>
          <w:numId w:val="18"/>
        </w:numPr>
        <w:rPr>
          <w:rFonts w:ascii="Times New Roman" w:hAnsi="Times New Roman" w:cs="Times New Roman"/>
          <w:b/>
          <w:i/>
          <w:sz w:val="20"/>
          <w:szCs w:val="20"/>
        </w:rPr>
      </w:pPr>
      <w:r>
        <w:rPr>
          <w:rFonts w:ascii="Times New Roman" w:hAnsi="Times New Roman" w:cs="Times New Roman"/>
          <w:b/>
          <w:i/>
          <w:sz w:val="20"/>
          <w:szCs w:val="20"/>
        </w:rPr>
        <w:t>Non-transparent t</w:t>
      </w:r>
      <w:r w:rsidR="009A42CC">
        <w:rPr>
          <w:rFonts w:ascii="Times New Roman" w:hAnsi="Times New Roman" w:cs="Times New Roman"/>
          <w:b/>
          <w:i/>
          <w:sz w:val="20"/>
          <w:szCs w:val="20"/>
        </w:rPr>
        <w:t xml:space="preserve">ransmit diversity for PSSCH shall not be used </w:t>
      </w:r>
      <w:r w:rsidR="00542E5E">
        <w:rPr>
          <w:rFonts w:ascii="Times New Roman" w:hAnsi="Times New Roman" w:cs="Times New Roman"/>
          <w:b/>
          <w:i/>
          <w:sz w:val="20"/>
          <w:szCs w:val="20"/>
        </w:rPr>
        <w:t>under</w:t>
      </w:r>
      <w:r>
        <w:rPr>
          <w:rFonts w:ascii="Times New Roman" w:hAnsi="Times New Roman" w:cs="Times New Roman"/>
          <w:b/>
          <w:i/>
          <w:sz w:val="20"/>
          <w:szCs w:val="20"/>
        </w:rPr>
        <w:t xml:space="preserve"> the following </w:t>
      </w:r>
      <w:r w:rsidR="00542E5E">
        <w:rPr>
          <w:rFonts w:ascii="Times New Roman" w:hAnsi="Times New Roman" w:cs="Times New Roman"/>
          <w:b/>
          <w:i/>
          <w:sz w:val="20"/>
          <w:szCs w:val="20"/>
        </w:rPr>
        <w:t>conditions</w:t>
      </w:r>
      <w:r>
        <w:rPr>
          <w:rFonts w:ascii="Times New Roman" w:hAnsi="Times New Roman" w:cs="Times New Roman"/>
          <w:b/>
          <w:i/>
          <w:sz w:val="20"/>
          <w:szCs w:val="20"/>
        </w:rPr>
        <w:t>.</w:t>
      </w:r>
    </w:p>
    <w:p w14:paraId="730A208A" w14:textId="6CDD523C" w:rsidR="009A42CC" w:rsidRDefault="00AF5DE5" w:rsidP="00AF5DE5">
      <w:pPr>
        <w:pStyle w:val="ListParagraph"/>
        <w:numPr>
          <w:ilvl w:val="1"/>
          <w:numId w:val="18"/>
        </w:numPr>
        <w:rPr>
          <w:rFonts w:ascii="Times New Roman" w:hAnsi="Times New Roman" w:cs="Times New Roman"/>
          <w:b/>
          <w:i/>
          <w:sz w:val="20"/>
          <w:szCs w:val="20"/>
        </w:rPr>
      </w:pPr>
      <w:r>
        <w:rPr>
          <w:rFonts w:ascii="Times New Roman" w:hAnsi="Times New Roman" w:cs="Times New Roman"/>
          <w:b/>
          <w:i/>
          <w:sz w:val="20"/>
          <w:szCs w:val="20"/>
        </w:rPr>
        <w:t>I</w:t>
      </w:r>
      <w:r w:rsidR="009A42CC">
        <w:rPr>
          <w:rFonts w:ascii="Times New Roman" w:hAnsi="Times New Roman" w:cs="Times New Roman"/>
          <w:b/>
          <w:i/>
          <w:sz w:val="20"/>
          <w:szCs w:val="20"/>
        </w:rPr>
        <w:t>f the ratio of resources containing decoded Rel-14 transmissions to the total number of resources is above a (pre-)configured threshold for that pool</w:t>
      </w:r>
      <w:r>
        <w:rPr>
          <w:rFonts w:ascii="Times New Roman" w:hAnsi="Times New Roman" w:cs="Times New Roman"/>
          <w:b/>
          <w:i/>
          <w:sz w:val="20"/>
          <w:szCs w:val="20"/>
        </w:rPr>
        <w:t>;</w:t>
      </w:r>
    </w:p>
    <w:p w14:paraId="668F43FE" w14:textId="541289E7" w:rsidR="009A42CC" w:rsidRDefault="009A42CC" w:rsidP="00AF5DE5">
      <w:pPr>
        <w:pStyle w:val="ListParagraph"/>
        <w:numPr>
          <w:ilvl w:val="2"/>
          <w:numId w:val="18"/>
        </w:numPr>
        <w:rPr>
          <w:rFonts w:ascii="Times New Roman" w:hAnsi="Times New Roman" w:cs="Times New Roman"/>
          <w:b/>
          <w:i/>
          <w:sz w:val="20"/>
          <w:szCs w:val="20"/>
        </w:rPr>
      </w:pPr>
      <w:r>
        <w:rPr>
          <w:rFonts w:ascii="Times New Roman" w:hAnsi="Times New Roman" w:cs="Times New Roman"/>
          <w:b/>
          <w:i/>
          <w:sz w:val="20"/>
          <w:szCs w:val="20"/>
        </w:rPr>
        <w:t>Setting the threshold to 0 prevents altogether the use of transmission diversity in the pool</w:t>
      </w:r>
      <w:r w:rsidR="00AF5DE5">
        <w:rPr>
          <w:rFonts w:ascii="Times New Roman" w:hAnsi="Times New Roman" w:cs="Times New Roman"/>
          <w:b/>
          <w:i/>
          <w:sz w:val="20"/>
          <w:szCs w:val="20"/>
        </w:rPr>
        <w:t>.</w:t>
      </w:r>
    </w:p>
    <w:p w14:paraId="70E9054B" w14:textId="1E3E062C" w:rsidR="00762113" w:rsidRPr="00762113" w:rsidRDefault="00AF5DE5" w:rsidP="002E2A5B">
      <w:pPr>
        <w:pStyle w:val="ListParagraph"/>
        <w:numPr>
          <w:ilvl w:val="1"/>
          <w:numId w:val="18"/>
        </w:numPr>
      </w:pPr>
      <w:r>
        <w:rPr>
          <w:rFonts w:ascii="Times New Roman" w:hAnsi="Times New Roman" w:cs="Times New Roman"/>
          <w:b/>
          <w:i/>
          <w:sz w:val="20"/>
          <w:szCs w:val="20"/>
        </w:rPr>
        <w:t>If a potential Rel-14 transmission is detected on the resource selected by the Rel-15 UE.</w:t>
      </w:r>
      <w:bookmarkEnd w:id="6"/>
    </w:p>
    <w:p w14:paraId="46814CAB" w14:textId="77777777" w:rsidR="00A80F17" w:rsidRDefault="00A80F17" w:rsidP="00A80F17">
      <w:pPr>
        <w:pStyle w:val="Heading2"/>
      </w:pPr>
      <w:r>
        <w:t>Non-transparent TxD for PSSCH transmission</w:t>
      </w:r>
    </w:p>
    <w:p w14:paraId="6967210C" w14:textId="60AA44FD" w:rsidR="00A80F17" w:rsidRPr="00986118" w:rsidRDefault="00A80F17" w:rsidP="002E2A5B">
      <w:pPr>
        <w:jc w:val="both"/>
      </w:pPr>
      <w:r>
        <w:t xml:space="preserve">We have discussed in Section 3.1 the restrictions on the use of non-transparent TxD. However, for other scenarios, e.g., </w:t>
      </w:r>
      <w:r w:rsidR="005F379F">
        <w:t>when there is no Rel-14 UE or there are only a limited number of Rel-14 UEs</w:t>
      </w:r>
      <w:r>
        <w:t xml:space="preserve"> in a resource pool during certain time duration, non-transparent TxD can still be </w:t>
      </w:r>
      <w:r w:rsidR="005F379F">
        <w:t>exploited</w:t>
      </w:r>
      <w:r>
        <w:t xml:space="preserve"> to further improve reliability </w:t>
      </w:r>
      <w:r w:rsidR="005F379F">
        <w:t xml:space="preserve">of Rel-15 transmission, </w:t>
      </w:r>
      <w:r>
        <w:t>which is</w:t>
      </w:r>
      <w:r w:rsidR="005F379F">
        <w:t xml:space="preserve"> indeed</w:t>
      </w:r>
      <w:r>
        <w:t xml:space="preserve"> required for more advanced eV2X use cases.</w:t>
      </w:r>
    </w:p>
    <w:p w14:paraId="132F0268" w14:textId="587EB803" w:rsidR="00A32907" w:rsidRDefault="005F379F" w:rsidP="00DC50D0">
      <w:pPr>
        <w:pStyle w:val="BodyText"/>
        <w:spacing w:before="240" w:after="240"/>
        <w:jc w:val="both"/>
        <w:rPr>
          <w:sz w:val="20"/>
          <w:szCs w:val="20"/>
        </w:rPr>
      </w:pPr>
      <w:r>
        <w:rPr>
          <w:sz w:val="20"/>
          <w:szCs w:val="20"/>
          <w:lang w:val="en-GB"/>
        </w:rPr>
        <w:t xml:space="preserve">Moreover, note that </w:t>
      </w:r>
      <w:r>
        <w:rPr>
          <w:sz w:val="20"/>
          <w:szCs w:val="20"/>
        </w:rPr>
        <w:t>e</w:t>
      </w:r>
      <w:r w:rsidR="00A22CCE">
        <w:rPr>
          <w:sz w:val="20"/>
          <w:szCs w:val="20"/>
        </w:rPr>
        <w:t xml:space="preserve">xisting prototypes of DSRC use CDD </w:t>
      </w:r>
      <w:r w:rsidR="000425BC">
        <w:rPr>
          <w:sz w:val="20"/>
          <w:szCs w:val="20"/>
        </w:rPr>
        <w:t xml:space="preserve">to improve reliability </w:t>
      </w:r>
      <w:r w:rsidR="00765B77">
        <w:rPr>
          <w:sz w:val="20"/>
          <w:szCs w:val="20"/>
        </w:rPr>
        <w:fldChar w:fldCharType="begin"/>
      </w:r>
      <w:r w:rsidR="00765B77">
        <w:rPr>
          <w:sz w:val="20"/>
          <w:szCs w:val="20"/>
        </w:rPr>
        <w:instrText xml:space="preserve"> REF _Ref494114460 \r \h </w:instrText>
      </w:r>
      <w:r w:rsidR="00765B77">
        <w:rPr>
          <w:sz w:val="20"/>
          <w:szCs w:val="20"/>
        </w:rPr>
      </w:r>
      <w:r w:rsidR="00765B77">
        <w:rPr>
          <w:sz w:val="20"/>
          <w:szCs w:val="20"/>
        </w:rPr>
        <w:fldChar w:fldCharType="separate"/>
      </w:r>
      <w:r w:rsidR="002E3BA5">
        <w:rPr>
          <w:sz w:val="20"/>
          <w:szCs w:val="20"/>
        </w:rPr>
        <w:t>[</w:t>
      </w:r>
      <w:r w:rsidR="00413C07">
        <w:rPr>
          <w:sz w:val="20"/>
          <w:szCs w:val="20"/>
        </w:rPr>
        <w:t>10</w:t>
      </w:r>
      <w:r w:rsidR="002E3BA5">
        <w:rPr>
          <w:sz w:val="20"/>
          <w:szCs w:val="20"/>
        </w:rPr>
        <w:t>]</w:t>
      </w:r>
      <w:r w:rsidR="00765B77">
        <w:rPr>
          <w:sz w:val="20"/>
          <w:szCs w:val="20"/>
        </w:rPr>
        <w:fldChar w:fldCharType="end"/>
      </w:r>
      <w:r w:rsidR="000425BC" w:rsidRPr="00937C1B">
        <w:rPr>
          <w:sz w:val="20"/>
          <w:szCs w:val="20"/>
        </w:rPr>
        <w:t>.</w:t>
      </w:r>
      <w:r w:rsidR="000425BC">
        <w:rPr>
          <w:sz w:val="20"/>
          <w:szCs w:val="20"/>
        </w:rPr>
        <w:t xml:space="preserve"> </w:t>
      </w:r>
      <w:r w:rsidR="00D1045E">
        <w:rPr>
          <w:sz w:val="20"/>
          <w:szCs w:val="20"/>
        </w:rPr>
        <w:t>We think that LTE-V2X Release 15 should go one step beyond and extract all the available diversity in the channel, improving upon CDD.</w:t>
      </w:r>
      <w:r w:rsidR="000425BC">
        <w:rPr>
          <w:sz w:val="20"/>
          <w:szCs w:val="20"/>
        </w:rPr>
        <w:t xml:space="preserve"> </w:t>
      </w:r>
    </w:p>
    <w:p w14:paraId="638F55B9" w14:textId="10661E30" w:rsidR="00272E9A" w:rsidRDefault="005B5BB9" w:rsidP="00985C55">
      <w:pPr>
        <w:pStyle w:val="BodyText"/>
        <w:spacing w:before="240" w:after="240"/>
        <w:jc w:val="both"/>
        <w:rPr>
          <w:sz w:val="20"/>
          <w:szCs w:val="20"/>
          <w:lang w:val="en-GB"/>
        </w:rPr>
      </w:pPr>
      <w:r>
        <w:rPr>
          <w:sz w:val="20"/>
          <w:szCs w:val="20"/>
          <w:lang w:val="en-GB"/>
        </w:rPr>
        <w:t>A</w:t>
      </w:r>
      <w:r w:rsidR="00985C55">
        <w:rPr>
          <w:sz w:val="20"/>
          <w:szCs w:val="20"/>
          <w:lang w:val="en-GB"/>
        </w:rPr>
        <w:t xml:space="preserve">s agreed in </w:t>
      </w:r>
      <w:r w:rsidR="00985C55" w:rsidRPr="00985C55">
        <w:rPr>
          <w:sz w:val="20"/>
          <w:szCs w:val="20"/>
          <w:lang w:val="en-GB"/>
        </w:rPr>
        <w:t>RAN1#91</w:t>
      </w:r>
      <w:r w:rsidR="00985C55">
        <w:rPr>
          <w:sz w:val="20"/>
          <w:szCs w:val="20"/>
          <w:lang w:val="en-GB"/>
        </w:rPr>
        <w:t xml:space="preserve">, </w:t>
      </w:r>
      <w:r>
        <w:rPr>
          <w:sz w:val="20"/>
          <w:szCs w:val="20"/>
          <w:lang w:val="en-GB"/>
        </w:rPr>
        <w:t xml:space="preserve">Alamouti </w:t>
      </w:r>
      <w:r w:rsidR="00985C55">
        <w:rPr>
          <w:sz w:val="20"/>
          <w:szCs w:val="20"/>
          <w:lang w:val="en-GB"/>
        </w:rPr>
        <w:t>SFBC-based scheme is the current working</w:t>
      </w:r>
      <w:r w:rsidR="00552295">
        <w:rPr>
          <w:sz w:val="20"/>
          <w:szCs w:val="20"/>
          <w:lang w:val="en-GB"/>
        </w:rPr>
        <w:t xml:space="preserve"> assumption</w:t>
      </w:r>
      <w:r w:rsidR="00985C55">
        <w:rPr>
          <w:sz w:val="20"/>
          <w:szCs w:val="20"/>
          <w:lang w:val="en-GB"/>
        </w:rPr>
        <w:t xml:space="preserve">. As illustrated </w:t>
      </w:r>
      <w:r w:rsidR="00C818AB">
        <w:rPr>
          <w:sz w:val="20"/>
          <w:szCs w:val="20"/>
          <w:lang w:val="en-GB"/>
        </w:rPr>
        <w:t>in</w:t>
      </w:r>
      <w:r w:rsidR="00C6213C">
        <w:rPr>
          <w:sz w:val="20"/>
          <w:szCs w:val="20"/>
          <w:lang w:val="en-GB"/>
        </w:rPr>
        <w:t xml:space="preserve"> </w:t>
      </w:r>
      <w:r w:rsidR="00C6213C" w:rsidRPr="009273AF">
        <w:rPr>
          <w:sz w:val="20"/>
          <w:szCs w:val="20"/>
          <w:lang w:val="en-GB"/>
        </w:rPr>
        <w:fldChar w:fldCharType="begin"/>
      </w:r>
      <w:r w:rsidR="00C6213C" w:rsidRPr="009273AF">
        <w:rPr>
          <w:sz w:val="20"/>
          <w:szCs w:val="20"/>
          <w:lang w:val="en-GB"/>
        </w:rPr>
        <w:instrText xml:space="preserve"> REF _Ref489963658 \h  \* MERGEFORMAT </w:instrText>
      </w:r>
      <w:r w:rsidR="00C6213C" w:rsidRPr="009273AF">
        <w:rPr>
          <w:sz w:val="20"/>
          <w:szCs w:val="20"/>
          <w:lang w:val="en-GB"/>
        </w:rPr>
      </w:r>
      <w:r w:rsidR="00C6213C" w:rsidRPr="009273AF">
        <w:rPr>
          <w:sz w:val="20"/>
          <w:szCs w:val="20"/>
          <w:lang w:val="en-GB"/>
        </w:rPr>
        <w:fldChar w:fldCharType="separate"/>
      </w:r>
      <w:r w:rsidR="002E3BA5" w:rsidRPr="002E3BA5">
        <w:rPr>
          <w:sz w:val="20"/>
          <w:szCs w:val="20"/>
          <w:lang w:val="en-GB"/>
        </w:rPr>
        <w:t>Figure 2</w:t>
      </w:r>
      <w:r w:rsidR="00C6213C" w:rsidRPr="009273AF">
        <w:rPr>
          <w:sz w:val="20"/>
          <w:szCs w:val="20"/>
          <w:lang w:val="en-GB"/>
        </w:rPr>
        <w:fldChar w:fldCharType="end"/>
      </w:r>
      <w:r w:rsidR="00985C55" w:rsidRPr="009273AF">
        <w:rPr>
          <w:sz w:val="20"/>
          <w:szCs w:val="20"/>
          <w:lang w:val="en-GB"/>
        </w:rPr>
        <w:t>, i</w:t>
      </w:r>
      <w:r w:rsidR="004C7766">
        <w:rPr>
          <w:sz w:val="20"/>
          <w:szCs w:val="20"/>
          <w:lang w:val="en-GB"/>
        </w:rPr>
        <w:t>n conventional Alamouti SFBC, two adjacent subcarrier</w:t>
      </w:r>
      <w:r w:rsidR="009C011C">
        <w:rPr>
          <w:sz w:val="20"/>
          <w:szCs w:val="20"/>
          <w:lang w:val="en-GB"/>
        </w:rPr>
        <w:t>s</w:t>
      </w:r>
      <w:r w:rsidR="004C7766">
        <w:rPr>
          <w:sz w:val="20"/>
          <w:szCs w:val="20"/>
          <w:lang w:val="en-GB"/>
        </w:rPr>
        <w:t xml:space="preserve"> are used as the paired SFBC subcarriers, which may lead to slightly increased CM/PAPR characteristics</w:t>
      </w:r>
      <w:r w:rsidR="00272E9A">
        <w:rPr>
          <w:sz w:val="20"/>
          <w:szCs w:val="20"/>
          <w:lang w:val="en-GB"/>
        </w:rPr>
        <w:t xml:space="preserve">. Nevertheless, according to RAN4’s response </w:t>
      </w:r>
      <w:r w:rsidR="009273AF">
        <w:rPr>
          <w:sz w:val="20"/>
          <w:szCs w:val="20"/>
          <w:lang w:val="en-GB"/>
        </w:rPr>
        <w:fldChar w:fldCharType="begin"/>
      </w:r>
      <w:r w:rsidR="009273AF">
        <w:rPr>
          <w:sz w:val="20"/>
          <w:szCs w:val="20"/>
          <w:lang w:val="en-GB"/>
        </w:rPr>
        <w:instrText xml:space="preserve"> REF _Ref506292678 \n \h </w:instrText>
      </w:r>
      <w:r w:rsidR="009273AF">
        <w:rPr>
          <w:sz w:val="20"/>
          <w:szCs w:val="20"/>
          <w:lang w:val="en-GB"/>
        </w:rPr>
      </w:r>
      <w:r w:rsidR="009273AF">
        <w:rPr>
          <w:sz w:val="20"/>
          <w:szCs w:val="20"/>
          <w:lang w:val="en-GB"/>
        </w:rPr>
        <w:fldChar w:fldCharType="separate"/>
      </w:r>
      <w:r w:rsidR="002E3BA5">
        <w:rPr>
          <w:sz w:val="20"/>
          <w:szCs w:val="20"/>
          <w:lang w:val="en-GB"/>
        </w:rPr>
        <w:t>[</w:t>
      </w:r>
      <w:r w:rsidR="00413C07">
        <w:rPr>
          <w:sz w:val="20"/>
          <w:szCs w:val="20"/>
          <w:lang w:val="en-GB"/>
        </w:rPr>
        <w:t>7</w:t>
      </w:r>
      <w:r w:rsidR="002E3BA5">
        <w:rPr>
          <w:sz w:val="20"/>
          <w:szCs w:val="20"/>
          <w:lang w:val="en-GB"/>
        </w:rPr>
        <w:t>]</w:t>
      </w:r>
      <w:r w:rsidR="009273AF">
        <w:rPr>
          <w:sz w:val="20"/>
          <w:szCs w:val="20"/>
          <w:lang w:val="en-GB"/>
        </w:rPr>
        <w:fldChar w:fldCharType="end"/>
      </w:r>
      <w:r w:rsidR="00272E9A">
        <w:rPr>
          <w:sz w:val="20"/>
          <w:szCs w:val="20"/>
          <w:lang w:val="en-GB"/>
        </w:rPr>
        <w:t>, up to 0.5dB MPR increase is expected if SFBC is implemented. Hence, the CM increase of SFBC is not significant and will not be a problem.</w:t>
      </w:r>
    </w:p>
    <w:p w14:paraId="7009C33C" w14:textId="5CF71300" w:rsidR="00C818AB" w:rsidRDefault="00C818AB" w:rsidP="00C818AB">
      <w:pPr>
        <w:pStyle w:val="BodyText"/>
        <w:spacing w:before="240" w:after="240"/>
        <w:jc w:val="center"/>
        <w:rPr>
          <w:sz w:val="20"/>
          <w:szCs w:val="20"/>
          <w:lang w:val="en-GB"/>
        </w:rPr>
      </w:pPr>
      <w:r>
        <w:rPr>
          <w:noProof/>
          <w:sz w:val="20"/>
          <w:szCs w:val="20"/>
        </w:rPr>
        <w:lastRenderedPageBreak/>
        <w:drawing>
          <wp:inline distT="0" distB="0" distL="0" distR="0" wp14:anchorId="6DEE7993" wp14:editId="7C0C9C9D">
            <wp:extent cx="4055424" cy="13194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FBC.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72542" cy="1324974"/>
                    </a:xfrm>
                    <a:prstGeom prst="rect">
                      <a:avLst/>
                    </a:prstGeom>
                  </pic:spPr>
                </pic:pic>
              </a:graphicData>
            </a:graphic>
          </wp:inline>
        </w:drawing>
      </w:r>
    </w:p>
    <w:p w14:paraId="0DA0CD95" w14:textId="5123CD69" w:rsidR="00DF313A" w:rsidRPr="00DF313A" w:rsidRDefault="00C6213C" w:rsidP="00C6213C">
      <w:pPr>
        <w:pStyle w:val="Caption"/>
        <w:jc w:val="center"/>
        <w:rPr>
          <w:b w:val="0"/>
        </w:rPr>
      </w:pPr>
      <w:bookmarkStart w:id="7" w:name="_Ref489963658"/>
      <w:r w:rsidRPr="00C6213C">
        <w:rPr>
          <w:b w:val="0"/>
        </w:rPr>
        <w:t xml:space="preserve">Figure </w:t>
      </w:r>
      <w:r w:rsidRPr="00C6213C">
        <w:rPr>
          <w:b w:val="0"/>
        </w:rPr>
        <w:fldChar w:fldCharType="begin"/>
      </w:r>
      <w:r w:rsidRPr="00C6213C">
        <w:rPr>
          <w:b w:val="0"/>
        </w:rPr>
        <w:instrText xml:space="preserve"> SEQ Figure \* ARABIC </w:instrText>
      </w:r>
      <w:r w:rsidRPr="00C6213C">
        <w:rPr>
          <w:b w:val="0"/>
        </w:rPr>
        <w:fldChar w:fldCharType="separate"/>
      </w:r>
      <w:r w:rsidR="007D58D3">
        <w:rPr>
          <w:b w:val="0"/>
          <w:noProof/>
        </w:rPr>
        <w:t>2</w:t>
      </w:r>
      <w:r w:rsidRPr="00C6213C">
        <w:rPr>
          <w:b w:val="0"/>
        </w:rPr>
        <w:fldChar w:fldCharType="end"/>
      </w:r>
      <w:bookmarkEnd w:id="7"/>
      <w:r>
        <w:rPr>
          <w:b w:val="0"/>
        </w:rPr>
        <w:t xml:space="preserve">. </w:t>
      </w:r>
      <w:r w:rsidR="00DF313A">
        <w:rPr>
          <w:b w:val="0"/>
        </w:rPr>
        <w:t>Alamouti SFBC</w:t>
      </w:r>
    </w:p>
    <w:p w14:paraId="6F591893" w14:textId="38A0DBC6" w:rsidR="00EA4A59" w:rsidRDefault="005A6BB3" w:rsidP="00765B77">
      <w:pPr>
        <w:tabs>
          <w:tab w:val="left" w:pos="1440"/>
        </w:tabs>
        <w:spacing w:before="240" w:after="0"/>
        <w:jc w:val="both"/>
      </w:pPr>
      <w:r>
        <w:t>S</w:t>
      </w:r>
      <w:r w:rsidR="00EA4A59">
        <w:t xml:space="preserve">ome companies have </w:t>
      </w:r>
      <w:r w:rsidR="00ED1470">
        <w:t xml:space="preserve">shown </w:t>
      </w:r>
      <w:r w:rsidR="00EA4A59">
        <w:t>concerns</w:t>
      </w:r>
      <w:r w:rsidR="00D33BF0">
        <w:t xml:space="preserve"> about the impacts of non-transparent diversity scheme on</w:t>
      </w:r>
      <w:r w:rsidR="003C3F00">
        <w:t xml:space="preserve"> the demodula</w:t>
      </w:r>
      <w:r w:rsidR="00302919">
        <w:t xml:space="preserve">tion performance of </w:t>
      </w:r>
      <w:r w:rsidR="00B35F64">
        <w:t>Rel-14 UE</w:t>
      </w:r>
      <w:r w:rsidR="00302919">
        <w:t>s</w:t>
      </w:r>
      <w:r w:rsidR="00B35F64">
        <w:t>, i.e., the receiver performance may be different in the a) presence of single-port interfere(s) and b) presence of two-port interfere</w:t>
      </w:r>
      <w:r w:rsidR="005D0BE6">
        <w:t>r</w:t>
      </w:r>
      <w:r w:rsidR="00B35F64">
        <w:t>(s) with diversity scheme</w:t>
      </w:r>
      <w:r w:rsidR="00302919">
        <w:t xml:space="preserve">. According to RAN4’s responses in </w:t>
      </w:r>
      <w:r w:rsidR="009273AF">
        <w:fldChar w:fldCharType="begin"/>
      </w:r>
      <w:r w:rsidR="009273AF">
        <w:instrText xml:space="preserve"> REF _Ref506292678 \n \h </w:instrText>
      </w:r>
      <w:r w:rsidR="009273AF">
        <w:fldChar w:fldCharType="separate"/>
      </w:r>
      <w:r w:rsidR="002E3BA5">
        <w:t>[</w:t>
      </w:r>
      <w:r w:rsidR="00413C07">
        <w:t>7</w:t>
      </w:r>
      <w:r w:rsidR="002E3BA5">
        <w:t>]</w:t>
      </w:r>
      <w:r w:rsidR="009273AF">
        <w:fldChar w:fldCharType="end"/>
      </w:r>
      <w:r w:rsidR="00302919">
        <w:t>, f</w:t>
      </w:r>
      <w:r w:rsidR="00302919" w:rsidRPr="00302919">
        <w:t>or LMMSE-MRC receiver, the two-port non-transparent transmit diversity interfering transmissions have almost same impact as Rel-14 single-port interfering transmissions on receiving performance of Rel-14 UEs</w:t>
      </w:r>
      <w:r w:rsidR="000003DD">
        <w:t xml:space="preserve">. On the other hand, for LMMSE-IRC receiver, </w:t>
      </w:r>
      <w:r w:rsidR="000003DD" w:rsidRPr="000003DD">
        <w:t xml:space="preserve">the performance </w:t>
      </w:r>
      <w:r w:rsidR="000003DD">
        <w:t>difference between single-port and two-port interfere</w:t>
      </w:r>
      <w:r w:rsidR="005D0BE6">
        <w:t>r</w:t>
      </w:r>
      <w:r w:rsidR="000003DD">
        <w:t xml:space="preserve">s </w:t>
      </w:r>
      <w:r w:rsidR="000003DD" w:rsidRPr="000003DD">
        <w:t>depends on the propagation conditions and the following results were observed</w:t>
      </w:r>
      <w:r w:rsidR="000003DD">
        <w:t>.</w:t>
      </w:r>
    </w:p>
    <w:p w14:paraId="181194F5" w14:textId="77777777" w:rsidR="000003DD" w:rsidRPr="000003DD" w:rsidRDefault="000003DD" w:rsidP="000003DD">
      <w:pPr>
        <w:numPr>
          <w:ilvl w:val="0"/>
          <w:numId w:val="22"/>
        </w:numPr>
        <w:spacing w:after="120"/>
        <w:jc w:val="both"/>
      </w:pPr>
      <w:r w:rsidRPr="000003DD">
        <w:t>For low relative UE speed scenarios (~30km/h), the performance impact is as follows:</w:t>
      </w:r>
    </w:p>
    <w:p w14:paraId="758C3153" w14:textId="77777777" w:rsidR="000003DD" w:rsidRPr="000003DD" w:rsidRDefault="000003DD" w:rsidP="000003DD">
      <w:pPr>
        <w:numPr>
          <w:ilvl w:val="1"/>
          <w:numId w:val="22"/>
        </w:numPr>
        <w:spacing w:after="120"/>
        <w:jc w:val="both"/>
      </w:pPr>
      <w:r w:rsidRPr="000003DD">
        <w:t>For the case of single dominant interferer signal the performance loss is from 0.1 dB for low INR = 0 dB and is in the range from 3.2 to 4.5 dB for high INR up to 15 dB.</w:t>
      </w:r>
    </w:p>
    <w:p w14:paraId="1E4D3172" w14:textId="77777777" w:rsidR="000003DD" w:rsidRPr="000003DD" w:rsidRDefault="000003DD" w:rsidP="000003DD">
      <w:pPr>
        <w:numPr>
          <w:ilvl w:val="1"/>
          <w:numId w:val="22"/>
        </w:numPr>
        <w:spacing w:after="120"/>
        <w:jc w:val="both"/>
      </w:pPr>
      <w:r w:rsidRPr="000003DD">
        <w:t>For the case of two dominant interferer signals the performance loss is from 0 dB for low INR = 0 dB and is in the range from 1.0dB to 1.9 dB for high INR up to 15 dB.</w:t>
      </w:r>
    </w:p>
    <w:p w14:paraId="126E924C" w14:textId="0C4DC13E" w:rsidR="000003DD" w:rsidRDefault="000003DD" w:rsidP="000003DD">
      <w:pPr>
        <w:numPr>
          <w:ilvl w:val="0"/>
          <w:numId w:val="22"/>
        </w:numPr>
        <w:spacing w:after="120"/>
        <w:jc w:val="both"/>
      </w:pPr>
      <w:r w:rsidRPr="000003DD">
        <w:t xml:space="preserve">For high relative UE speed scenarios (~280km/h), the performance impact is generally less than 0.5 dB for all scenarios. </w:t>
      </w:r>
    </w:p>
    <w:p w14:paraId="38AB00D3" w14:textId="53BAF2D2" w:rsidR="00C636DC" w:rsidRDefault="00EA12B5" w:rsidP="00EA12B5">
      <w:pPr>
        <w:spacing w:after="120"/>
        <w:jc w:val="both"/>
      </w:pPr>
      <w:r>
        <w:t xml:space="preserve">From the RAN4 response, we can conclude that the minimum performance requirements which are met by MRC receivers are not affected. </w:t>
      </w:r>
      <w:r w:rsidR="00990A61">
        <w:t>Regarding IRC receivers, given the restrictions discussed in Section 3.1, the negative impacts on Rel-14 LMMSE-IRC receivers will be quite limited.</w:t>
      </w:r>
    </w:p>
    <w:p w14:paraId="1DFB0CC4" w14:textId="0E1C0796" w:rsidR="000003DD" w:rsidRDefault="00EA12B5" w:rsidP="000003DD">
      <w:pPr>
        <w:spacing w:after="120"/>
        <w:jc w:val="both"/>
      </w:pPr>
      <w:r>
        <w:t xml:space="preserve">In </w:t>
      </w:r>
      <w:r w:rsidRPr="009273AF">
        <w:fldChar w:fldCharType="begin"/>
      </w:r>
      <w:r w:rsidRPr="009273AF">
        <w:instrText xml:space="preserve"> REF _Ref494462115 \r \h  \* MERGEFORMAT </w:instrText>
      </w:r>
      <w:r w:rsidRPr="009273AF">
        <w:fldChar w:fldCharType="separate"/>
      </w:r>
      <w:r>
        <w:t>[</w:t>
      </w:r>
      <w:r w:rsidR="00A52E2A">
        <w:t>8</w:t>
      </w:r>
      <w:r>
        <w:t>]</w:t>
      </w:r>
      <w:r w:rsidRPr="009273AF">
        <w:fldChar w:fldCharType="end"/>
      </w:r>
      <w:r>
        <w:t xml:space="preserve"> we present a DMRS structure that allows for a simpl</w:t>
      </w:r>
      <w:r w:rsidR="00417212">
        <w:t>y modified</w:t>
      </w:r>
      <w:r>
        <w:t xml:space="preserve"> </w:t>
      </w:r>
      <w:r w:rsidR="00990A61">
        <w:t xml:space="preserve">yet more efficient </w:t>
      </w:r>
      <w:r>
        <w:t>LMMSE-IRC receiver implementation for Release 15 UEs based on:</w:t>
      </w:r>
      <w:r w:rsidDel="00EA12B5">
        <w:t xml:space="preserve"> </w:t>
      </w:r>
    </w:p>
    <w:p w14:paraId="5E87B02F" w14:textId="77777777" w:rsidR="00922C86" w:rsidRDefault="00922C86" w:rsidP="00922C86">
      <w:pPr>
        <w:pStyle w:val="ListParagraph"/>
        <w:numPr>
          <w:ilvl w:val="0"/>
          <w:numId w:val="8"/>
        </w:numPr>
        <w:tabs>
          <w:tab w:val="left" w:pos="1440"/>
        </w:tabs>
        <w:jc w:val="both"/>
      </w:pPr>
      <w:r w:rsidRPr="00765B77">
        <w:rPr>
          <w:rFonts w:ascii="Times New Roman" w:hAnsi="Times New Roman" w:cs="Times New Roman"/>
          <w:sz w:val="20"/>
          <w:szCs w:val="20"/>
        </w:rPr>
        <w:t>Joint decoding of two RX antennas and two subcarriers (i.e., the pair of subcarriers used in SFBC).</w:t>
      </w:r>
    </w:p>
    <w:p w14:paraId="167EF2AA" w14:textId="77777777" w:rsidR="00922C86" w:rsidRPr="006333FF" w:rsidRDefault="00922C86" w:rsidP="00922C86">
      <w:pPr>
        <w:pStyle w:val="ListParagraph"/>
        <w:numPr>
          <w:ilvl w:val="0"/>
          <w:numId w:val="8"/>
        </w:numPr>
        <w:tabs>
          <w:tab w:val="left" w:pos="1440"/>
        </w:tabs>
        <w:jc w:val="both"/>
      </w:pPr>
      <w:r>
        <w:rPr>
          <w:rFonts w:ascii="Times New Roman" w:hAnsi="Times New Roman" w:cs="Times New Roman"/>
          <w:sz w:val="20"/>
          <w:szCs w:val="20"/>
        </w:rPr>
        <w:t>Covariance matrix estimation (interference plus noise) using DMRS symbols.</w:t>
      </w:r>
    </w:p>
    <w:p w14:paraId="61F4D627" w14:textId="77777777" w:rsidR="005F379F" w:rsidRDefault="005F379F" w:rsidP="00990A61">
      <w:pPr>
        <w:pStyle w:val="ListParagraph"/>
        <w:rPr>
          <w:rFonts w:ascii="Times New Roman" w:hAnsi="Times New Roman" w:cs="Times New Roman"/>
          <w:b/>
          <w:i/>
          <w:sz w:val="20"/>
        </w:rPr>
      </w:pPr>
    </w:p>
    <w:p w14:paraId="45D4883F" w14:textId="645BB1FF" w:rsidR="005F379F" w:rsidRDefault="005F379F" w:rsidP="005F379F">
      <w:pPr>
        <w:jc w:val="both"/>
      </w:pPr>
      <w:r>
        <w:t xml:space="preserve">As described by RAN4 in </w:t>
      </w:r>
      <w:r>
        <w:fldChar w:fldCharType="begin"/>
      </w:r>
      <w:r>
        <w:instrText xml:space="preserve"> REF _Ref506292678 \r \h </w:instrText>
      </w:r>
      <w:r>
        <w:fldChar w:fldCharType="separate"/>
      </w:r>
      <w:r>
        <w:t>[</w:t>
      </w:r>
      <w:r w:rsidR="00A52E2A">
        <w:t>7</w:t>
      </w:r>
      <w:r>
        <w:t>]</w:t>
      </w:r>
      <w:r>
        <w:fldChar w:fldCharType="end"/>
      </w:r>
      <w:r>
        <w:t xml:space="preserve">, the RSRP measurements performed on transmissions using non-transparent diversity may show a 3 dB loss compared to those performed on signals transmitted without diversity. We believe that giving the same importance to both types of signals is beneficial in terms of coexistence.  </w:t>
      </w:r>
    </w:p>
    <w:p w14:paraId="057BA5C4" w14:textId="3C83FEA0" w:rsidR="005F379F" w:rsidRPr="006E39CD" w:rsidRDefault="005F379F" w:rsidP="005F379F">
      <w:pPr>
        <w:rPr>
          <w:b/>
          <w:i/>
        </w:rPr>
      </w:pPr>
      <w:r w:rsidRPr="006E39CD">
        <w:rPr>
          <w:b/>
          <w:i/>
        </w:rPr>
        <w:t xml:space="preserve">Proposal </w:t>
      </w:r>
      <w:r w:rsidR="00753FF0">
        <w:rPr>
          <w:b/>
          <w:i/>
        </w:rPr>
        <w:t>4</w:t>
      </w:r>
      <w:r w:rsidRPr="006E39CD">
        <w:rPr>
          <w:b/>
          <w:i/>
        </w:rPr>
        <w:t>:</w:t>
      </w:r>
    </w:p>
    <w:p w14:paraId="7393119D" w14:textId="34ECB8DC" w:rsidR="005F379F" w:rsidRDefault="005F379F" w:rsidP="005F379F">
      <w:pPr>
        <w:pStyle w:val="ListParagraph"/>
        <w:numPr>
          <w:ilvl w:val="0"/>
          <w:numId w:val="18"/>
        </w:numPr>
        <w:rPr>
          <w:rFonts w:ascii="Times New Roman" w:hAnsi="Times New Roman" w:cs="Times New Roman"/>
          <w:b/>
          <w:i/>
          <w:sz w:val="20"/>
          <w:szCs w:val="20"/>
        </w:rPr>
      </w:pPr>
      <w:r>
        <w:rPr>
          <w:rFonts w:ascii="Times New Roman" w:hAnsi="Times New Roman" w:cs="Times New Roman"/>
          <w:b/>
          <w:i/>
          <w:sz w:val="20"/>
          <w:szCs w:val="20"/>
        </w:rPr>
        <w:t>RSRP measurements on transmissions using non-transparent diversity are increased by 3 dB.</w:t>
      </w:r>
    </w:p>
    <w:p w14:paraId="19266280" w14:textId="77777777" w:rsidR="00E20734" w:rsidRDefault="00E20734" w:rsidP="00E20734">
      <w:pPr>
        <w:pStyle w:val="Heading2"/>
      </w:pPr>
      <w:r w:rsidRPr="009A42CC">
        <w:t>Small delay CDD for PSSCH transmission</w:t>
      </w:r>
    </w:p>
    <w:p w14:paraId="709D8BEF" w14:textId="77777777" w:rsidR="00E20734" w:rsidRDefault="00E20734" w:rsidP="002E2A5B">
      <w:pPr>
        <w:jc w:val="both"/>
      </w:pPr>
      <w:r>
        <w:t xml:space="preserve">When non-transparent transmit diversity is not allowed, transparent diversity solution can be exploited to bring certain diversity gain for reliability improvement. </w:t>
      </w:r>
    </w:p>
    <w:p w14:paraId="670E3BF2" w14:textId="77777777" w:rsidR="00E20734" w:rsidRDefault="00E20734" w:rsidP="002E2A5B">
      <w:pPr>
        <w:jc w:val="both"/>
      </w:pPr>
      <w:r>
        <w:t>Similar with PSCCH transmission, small delay CDD can be used on PSSCH for this purpose. Although similar principles and implementations of small delay CDD are applicable to both PSCCH and PSSCH, the selected delay values may be different. The reason is, the selected cyclic delay value usually depends on the bandwidth allocated to the respective transmission, and PSSCH typically has larger bandwidth than PSCCH.</w:t>
      </w:r>
    </w:p>
    <w:p w14:paraId="0D8ADF96" w14:textId="2CC87FCB" w:rsidR="001D64DB" w:rsidRPr="002E2A5B" w:rsidRDefault="004B679B">
      <w:pPr>
        <w:pStyle w:val="BodyText"/>
        <w:spacing w:after="240"/>
        <w:jc w:val="both"/>
        <w:rPr>
          <w:sz w:val="20"/>
          <w:szCs w:val="20"/>
        </w:rPr>
      </w:pPr>
      <w:r>
        <w:rPr>
          <w:sz w:val="20"/>
          <w:szCs w:val="20"/>
        </w:rPr>
        <w:t xml:space="preserve">In our view, the specification </w:t>
      </w:r>
      <w:r w:rsidR="00A52E2A">
        <w:rPr>
          <w:sz w:val="20"/>
          <w:szCs w:val="20"/>
        </w:rPr>
        <w:t>o</w:t>
      </w:r>
      <w:r>
        <w:rPr>
          <w:sz w:val="20"/>
          <w:szCs w:val="20"/>
        </w:rPr>
        <w:t xml:space="preserve">f non-transparent diversity alone is sufficient. However, </w:t>
      </w:r>
      <w:r w:rsidR="00E64EF5">
        <w:rPr>
          <w:sz w:val="20"/>
          <w:szCs w:val="20"/>
        </w:rPr>
        <w:t xml:space="preserve">for the sake of compromise we propose a mixed specification. </w:t>
      </w:r>
    </w:p>
    <w:p w14:paraId="04DD1D84" w14:textId="3773AAC2" w:rsidR="00480D53" w:rsidRDefault="00480D53" w:rsidP="001D64DB">
      <w:pPr>
        <w:pStyle w:val="BodyText"/>
        <w:spacing w:after="240"/>
        <w:jc w:val="both"/>
        <w:rPr>
          <w:b/>
          <w:i/>
          <w:sz w:val="20"/>
          <w:szCs w:val="20"/>
        </w:rPr>
      </w:pPr>
      <w:r>
        <w:rPr>
          <w:b/>
          <w:i/>
          <w:sz w:val="20"/>
          <w:szCs w:val="20"/>
        </w:rPr>
        <w:t>Proposal</w:t>
      </w:r>
      <w:r w:rsidR="00753FF0">
        <w:rPr>
          <w:b/>
          <w:i/>
          <w:sz w:val="20"/>
          <w:szCs w:val="20"/>
        </w:rPr>
        <w:t xml:space="preserve"> 5</w:t>
      </w:r>
      <w:r>
        <w:rPr>
          <w:b/>
          <w:i/>
          <w:sz w:val="20"/>
          <w:szCs w:val="20"/>
        </w:rPr>
        <w:t>:</w:t>
      </w:r>
    </w:p>
    <w:p w14:paraId="685DAB59" w14:textId="35E9F884" w:rsidR="00480D53" w:rsidRDefault="00EB498E" w:rsidP="001D64DB">
      <w:pPr>
        <w:pStyle w:val="BodyText"/>
        <w:numPr>
          <w:ilvl w:val="0"/>
          <w:numId w:val="18"/>
        </w:numPr>
        <w:jc w:val="both"/>
        <w:rPr>
          <w:b/>
          <w:i/>
          <w:sz w:val="20"/>
          <w:szCs w:val="20"/>
        </w:rPr>
      </w:pPr>
      <w:r>
        <w:rPr>
          <w:b/>
          <w:i/>
          <w:sz w:val="20"/>
          <w:szCs w:val="20"/>
        </w:rPr>
        <w:t>Both transparent and non-transparent transmit diversity are supported for PSSCH.</w:t>
      </w:r>
    </w:p>
    <w:p w14:paraId="6BEF9F0A" w14:textId="3A51BE60" w:rsidR="00FC5574" w:rsidRDefault="00FC5574" w:rsidP="001D64DB">
      <w:pPr>
        <w:pStyle w:val="BodyText"/>
        <w:numPr>
          <w:ilvl w:val="1"/>
          <w:numId w:val="18"/>
        </w:numPr>
        <w:jc w:val="both"/>
        <w:rPr>
          <w:b/>
          <w:i/>
          <w:sz w:val="20"/>
          <w:szCs w:val="20"/>
        </w:rPr>
      </w:pPr>
      <w:r>
        <w:rPr>
          <w:b/>
          <w:i/>
          <w:sz w:val="20"/>
          <w:szCs w:val="20"/>
        </w:rPr>
        <w:t>For non-transparent diversity, SFBC is used</w:t>
      </w:r>
      <w:r w:rsidR="004F7702">
        <w:rPr>
          <w:b/>
          <w:i/>
          <w:sz w:val="20"/>
          <w:szCs w:val="20"/>
        </w:rPr>
        <w:t xml:space="preserve"> (confirms the working assumption).</w:t>
      </w:r>
    </w:p>
    <w:p w14:paraId="0CB56E8B" w14:textId="36916248" w:rsidR="00EB498E" w:rsidRPr="00765034" w:rsidRDefault="004F7702" w:rsidP="002E2A5B">
      <w:pPr>
        <w:pStyle w:val="BodyText"/>
        <w:numPr>
          <w:ilvl w:val="1"/>
          <w:numId w:val="18"/>
        </w:numPr>
        <w:spacing w:after="240"/>
        <w:jc w:val="both"/>
        <w:rPr>
          <w:b/>
          <w:i/>
          <w:sz w:val="20"/>
          <w:szCs w:val="20"/>
        </w:rPr>
      </w:pPr>
      <w:r w:rsidRPr="002E2A5B">
        <w:rPr>
          <w:b/>
          <w:i/>
          <w:sz w:val="20"/>
          <w:szCs w:val="20"/>
        </w:rPr>
        <w:t>For transparent diversity, SD-CDD is used.</w:t>
      </w:r>
    </w:p>
    <w:p w14:paraId="03458D01" w14:textId="6FB11D49" w:rsidR="00753FF0" w:rsidRPr="002E2A5B" w:rsidRDefault="00753FF0" w:rsidP="001D64DB">
      <w:pPr>
        <w:pStyle w:val="BodyText"/>
        <w:spacing w:after="240"/>
        <w:jc w:val="both"/>
        <w:rPr>
          <w:sz w:val="20"/>
          <w:szCs w:val="20"/>
        </w:rPr>
      </w:pPr>
      <w:r w:rsidRPr="002E2A5B">
        <w:rPr>
          <w:sz w:val="20"/>
          <w:szCs w:val="20"/>
        </w:rPr>
        <w:t xml:space="preserve">Regarding SD-CDD, we believe that RAN1 specification impact is </w:t>
      </w:r>
      <w:r>
        <w:rPr>
          <w:sz w:val="20"/>
          <w:szCs w:val="20"/>
        </w:rPr>
        <w:t>necessary</w:t>
      </w:r>
      <w:r w:rsidRPr="002E2A5B">
        <w:rPr>
          <w:sz w:val="20"/>
          <w:szCs w:val="20"/>
        </w:rPr>
        <w:t>.</w:t>
      </w:r>
    </w:p>
    <w:p w14:paraId="281E90F3" w14:textId="02743C6D" w:rsidR="00E20734" w:rsidRPr="00EA2981" w:rsidRDefault="00E20734" w:rsidP="001D64DB">
      <w:pPr>
        <w:pStyle w:val="BodyText"/>
        <w:spacing w:after="240"/>
        <w:jc w:val="both"/>
        <w:rPr>
          <w:b/>
          <w:i/>
          <w:sz w:val="20"/>
          <w:szCs w:val="20"/>
        </w:rPr>
      </w:pPr>
      <w:r w:rsidRPr="00EA2981">
        <w:rPr>
          <w:b/>
          <w:i/>
          <w:sz w:val="20"/>
          <w:szCs w:val="20"/>
        </w:rPr>
        <w:lastRenderedPageBreak/>
        <w:t xml:space="preserve">Proposal </w:t>
      </w:r>
      <w:r w:rsidR="00753FF0">
        <w:rPr>
          <w:b/>
          <w:i/>
          <w:sz w:val="20"/>
          <w:szCs w:val="20"/>
        </w:rPr>
        <w:t>6</w:t>
      </w:r>
      <w:r w:rsidRPr="00EA2981">
        <w:rPr>
          <w:b/>
          <w:i/>
          <w:sz w:val="20"/>
          <w:szCs w:val="20"/>
        </w:rPr>
        <w:t xml:space="preserve">: </w:t>
      </w:r>
    </w:p>
    <w:p w14:paraId="37AB928B" w14:textId="77777777" w:rsidR="00E20734" w:rsidRDefault="00E20734" w:rsidP="002E2A5B">
      <w:pPr>
        <w:numPr>
          <w:ilvl w:val="0"/>
          <w:numId w:val="13"/>
        </w:numPr>
        <w:spacing w:after="0"/>
        <w:jc w:val="both"/>
        <w:rPr>
          <w:b/>
          <w:i/>
          <w:lang w:val="en-US"/>
        </w:rPr>
      </w:pPr>
      <w:r>
        <w:rPr>
          <w:b/>
          <w:i/>
          <w:lang w:val="en-US"/>
        </w:rPr>
        <w:t xml:space="preserve">When small delay CDD is applied to PSSCH, </w:t>
      </w:r>
      <w:r w:rsidRPr="00EA2981">
        <w:rPr>
          <w:b/>
          <w:i/>
          <w:lang w:val="en-US"/>
        </w:rPr>
        <w:t>the cyclic delay value is left for UE implementation. However, an upper bound and a lower bound of the used cyclic delay value are (pre-)configured.</w:t>
      </w:r>
    </w:p>
    <w:p w14:paraId="4C21B749" w14:textId="77777777" w:rsidR="00E20734" w:rsidRDefault="00E20734" w:rsidP="002E2A5B">
      <w:pPr>
        <w:numPr>
          <w:ilvl w:val="1"/>
          <w:numId w:val="13"/>
        </w:numPr>
        <w:spacing w:after="0"/>
        <w:jc w:val="both"/>
        <w:rPr>
          <w:b/>
          <w:i/>
          <w:lang w:val="en-US"/>
        </w:rPr>
      </w:pPr>
      <w:r>
        <w:rPr>
          <w:b/>
          <w:i/>
          <w:lang w:val="en-US"/>
        </w:rPr>
        <w:t>The cyclic delay value applied to PSSCH can be different with that used for PSCCH.</w:t>
      </w:r>
    </w:p>
    <w:p w14:paraId="44814EBA" w14:textId="77777777" w:rsidR="00E20734" w:rsidRPr="00EA2981" w:rsidRDefault="00E20734" w:rsidP="002E2A5B">
      <w:pPr>
        <w:numPr>
          <w:ilvl w:val="1"/>
          <w:numId w:val="13"/>
        </w:numPr>
        <w:spacing w:after="0"/>
        <w:jc w:val="both"/>
        <w:rPr>
          <w:b/>
          <w:i/>
          <w:lang w:val="en-US"/>
        </w:rPr>
      </w:pPr>
      <w:r>
        <w:rPr>
          <w:b/>
          <w:i/>
          <w:lang w:val="en-US"/>
        </w:rPr>
        <w:t>The (pre-)configured upper and lower bounds can be different with that (pre-)configured for PSCCH.</w:t>
      </w:r>
    </w:p>
    <w:p w14:paraId="56BC7813" w14:textId="77777777" w:rsidR="005F379F" w:rsidRPr="005F379F" w:rsidRDefault="005F379F" w:rsidP="005F379F">
      <w:pPr>
        <w:rPr>
          <w:b/>
          <w:i/>
          <w:lang w:val="en-US"/>
        </w:rPr>
      </w:pPr>
    </w:p>
    <w:p w14:paraId="3C4455C8" w14:textId="4615DD32" w:rsidR="00706C19" w:rsidRPr="00744368" w:rsidRDefault="00706C19" w:rsidP="00706C19">
      <w:pPr>
        <w:pStyle w:val="Heading1"/>
      </w:pPr>
      <w:r w:rsidRPr="00744368">
        <w:t xml:space="preserve">Conclusion </w:t>
      </w:r>
    </w:p>
    <w:p w14:paraId="40959AD3" w14:textId="54F16943" w:rsidR="00623368" w:rsidRPr="003314CC" w:rsidRDefault="00706C19" w:rsidP="003314CC">
      <w:pPr>
        <w:pStyle w:val="BodyText"/>
        <w:spacing w:before="240" w:after="240"/>
        <w:jc w:val="both"/>
        <w:rPr>
          <w:spacing w:val="2"/>
          <w:sz w:val="20"/>
          <w:szCs w:val="20"/>
        </w:rPr>
      </w:pPr>
      <w:r w:rsidRPr="003314CC">
        <w:rPr>
          <w:spacing w:val="2"/>
          <w:sz w:val="20"/>
          <w:szCs w:val="20"/>
        </w:rPr>
        <w:t>In this contribution</w:t>
      </w:r>
      <w:r w:rsidR="008046F4">
        <w:rPr>
          <w:spacing w:val="2"/>
          <w:sz w:val="20"/>
          <w:szCs w:val="20"/>
        </w:rPr>
        <w:t>,</w:t>
      </w:r>
      <w:r w:rsidRPr="003314CC">
        <w:rPr>
          <w:spacing w:val="2"/>
          <w:sz w:val="20"/>
          <w:szCs w:val="20"/>
        </w:rPr>
        <w:t xml:space="preserve"> we </w:t>
      </w:r>
      <w:r w:rsidR="00954578" w:rsidRPr="003314CC">
        <w:rPr>
          <w:spacing w:val="2"/>
          <w:sz w:val="20"/>
          <w:szCs w:val="20"/>
        </w:rPr>
        <w:t xml:space="preserve">have </w:t>
      </w:r>
      <w:r w:rsidR="008046F4">
        <w:rPr>
          <w:spacing w:val="2"/>
          <w:sz w:val="20"/>
          <w:szCs w:val="20"/>
        </w:rPr>
        <w:t xml:space="preserve">discussed </w:t>
      </w:r>
      <w:r w:rsidR="008046F4" w:rsidRPr="008046F4">
        <w:rPr>
          <w:spacing w:val="2"/>
          <w:sz w:val="20"/>
          <w:szCs w:val="20"/>
        </w:rPr>
        <w:t xml:space="preserve">the cyclic delay value of CDD scheme applied to PSCCH transmission and the transmit diversity scheme applied to PSSCH transmission. </w:t>
      </w:r>
      <w:r w:rsidR="00E024DC">
        <w:rPr>
          <w:spacing w:val="2"/>
          <w:sz w:val="20"/>
          <w:szCs w:val="20"/>
        </w:rPr>
        <w:t>We have observed and proposed the following</w:t>
      </w:r>
      <w:r w:rsidR="003314CC" w:rsidRPr="003314CC">
        <w:rPr>
          <w:spacing w:val="2"/>
          <w:sz w:val="20"/>
          <w:szCs w:val="20"/>
        </w:rPr>
        <w:t>:</w:t>
      </w:r>
    </w:p>
    <w:p w14:paraId="375E8493" w14:textId="77777777" w:rsidR="007A5FFD" w:rsidRPr="00842C9C" w:rsidRDefault="007A5FFD" w:rsidP="007A5FFD">
      <w:pPr>
        <w:spacing w:before="240"/>
        <w:rPr>
          <w:b/>
          <w:i/>
        </w:rPr>
      </w:pPr>
      <w:r w:rsidRPr="006E39CD">
        <w:rPr>
          <w:b/>
          <w:i/>
        </w:rPr>
        <w:t>Observation</w:t>
      </w:r>
      <w:r w:rsidRPr="00842C9C">
        <w:rPr>
          <w:b/>
          <w:i/>
        </w:rPr>
        <w:t xml:space="preserve"> 1</w:t>
      </w:r>
      <w:r w:rsidRPr="006E39CD">
        <w:rPr>
          <w:b/>
          <w:i/>
        </w:rPr>
        <w:t>:</w:t>
      </w:r>
    </w:p>
    <w:p w14:paraId="4010CC53" w14:textId="77777777" w:rsidR="007A5FFD" w:rsidRPr="006E39CD" w:rsidRDefault="007A5FFD" w:rsidP="007A5FFD">
      <w:pPr>
        <w:pStyle w:val="ListParagraph"/>
        <w:numPr>
          <w:ilvl w:val="0"/>
          <w:numId w:val="18"/>
        </w:numPr>
        <w:spacing w:before="240"/>
        <w:rPr>
          <w:b/>
          <w:i/>
          <w:sz w:val="20"/>
          <w:szCs w:val="20"/>
        </w:rPr>
      </w:pPr>
      <w:r>
        <w:rPr>
          <w:rFonts w:ascii="Times New Roman" w:hAnsi="Times New Roman" w:cs="Times New Roman"/>
          <w:b/>
          <w:i/>
          <w:sz w:val="20"/>
          <w:szCs w:val="20"/>
        </w:rPr>
        <w:t>Higher layers are aware of the V2X service associated with a packet and whether non-transparent transmit diversity is supported for that packet or not.</w:t>
      </w:r>
    </w:p>
    <w:p w14:paraId="3E254896" w14:textId="77777777" w:rsidR="007A5FFD" w:rsidRDefault="007A5FFD" w:rsidP="007A5FFD">
      <w:pPr>
        <w:pStyle w:val="BodyText"/>
        <w:spacing w:after="240"/>
        <w:jc w:val="both"/>
        <w:rPr>
          <w:b/>
          <w:i/>
          <w:sz w:val="20"/>
          <w:szCs w:val="20"/>
        </w:rPr>
      </w:pPr>
    </w:p>
    <w:p w14:paraId="799FC240" w14:textId="05BCFC3C" w:rsidR="007A5FFD" w:rsidRPr="00EA2981" w:rsidRDefault="007A5FFD" w:rsidP="007A5FFD">
      <w:pPr>
        <w:pStyle w:val="BodyText"/>
        <w:spacing w:after="240"/>
        <w:jc w:val="both"/>
        <w:rPr>
          <w:b/>
          <w:i/>
          <w:sz w:val="20"/>
          <w:szCs w:val="20"/>
        </w:rPr>
      </w:pPr>
      <w:r w:rsidRPr="00EA2981">
        <w:rPr>
          <w:b/>
          <w:i/>
          <w:sz w:val="20"/>
          <w:szCs w:val="20"/>
        </w:rPr>
        <w:t xml:space="preserve">Proposal 1: </w:t>
      </w:r>
    </w:p>
    <w:p w14:paraId="00EBF79B" w14:textId="1025CD8A" w:rsidR="007A5FFD" w:rsidRDefault="007A5FFD" w:rsidP="007A5FFD">
      <w:pPr>
        <w:numPr>
          <w:ilvl w:val="0"/>
          <w:numId w:val="13"/>
        </w:numPr>
        <w:spacing w:after="0"/>
        <w:rPr>
          <w:b/>
          <w:i/>
          <w:lang w:val="en-US"/>
        </w:rPr>
      </w:pPr>
      <w:r w:rsidRPr="00EA2981">
        <w:rPr>
          <w:b/>
          <w:i/>
          <w:lang w:val="en-US"/>
        </w:rPr>
        <w:t>For PSCCH, the cyclic delay value applied to small delay CDD is left for UE implementation. However, an upper bound and a lower bound of the used cyclic delay value are (pre-)configured.</w:t>
      </w:r>
    </w:p>
    <w:p w14:paraId="75D66BA4" w14:textId="77777777" w:rsidR="007A5FFD" w:rsidRPr="00D112B3" w:rsidRDefault="007A5FFD" w:rsidP="007A5FFD">
      <w:pPr>
        <w:spacing w:before="240"/>
        <w:rPr>
          <w:b/>
          <w:i/>
        </w:rPr>
      </w:pPr>
      <w:r w:rsidRPr="00D112B3">
        <w:rPr>
          <w:b/>
          <w:i/>
        </w:rPr>
        <w:t xml:space="preserve">Proposal </w:t>
      </w:r>
      <w:r>
        <w:rPr>
          <w:b/>
          <w:i/>
        </w:rPr>
        <w:t>2</w:t>
      </w:r>
      <w:r w:rsidRPr="00D112B3">
        <w:rPr>
          <w:b/>
          <w:i/>
        </w:rPr>
        <w:t>:</w:t>
      </w:r>
    </w:p>
    <w:p w14:paraId="3DEC5E7A" w14:textId="77777777" w:rsidR="007A5FFD" w:rsidRDefault="007A5FFD" w:rsidP="007A5FFD">
      <w:pPr>
        <w:pStyle w:val="ListParagraph"/>
        <w:numPr>
          <w:ilvl w:val="0"/>
          <w:numId w:val="13"/>
        </w:numPr>
        <w:rPr>
          <w:rFonts w:ascii="Times New Roman" w:hAnsi="Times New Roman" w:cs="Times New Roman"/>
          <w:b/>
          <w:i/>
          <w:sz w:val="20"/>
          <w:szCs w:val="20"/>
        </w:rPr>
      </w:pPr>
      <w:r w:rsidRPr="00C3081F">
        <w:rPr>
          <w:rFonts w:ascii="Times New Roman" w:hAnsi="Times New Roman" w:cs="Times New Roman"/>
          <w:b/>
          <w:i/>
          <w:sz w:val="20"/>
          <w:szCs w:val="20"/>
        </w:rPr>
        <w:t xml:space="preserve">PHY uses </w:t>
      </w:r>
      <w:r>
        <w:rPr>
          <w:rFonts w:ascii="Times New Roman" w:hAnsi="Times New Roman" w:cs="Times New Roman"/>
          <w:b/>
          <w:i/>
          <w:sz w:val="20"/>
          <w:szCs w:val="20"/>
        </w:rPr>
        <w:t xml:space="preserve">non-transparent </w:t>
      </w:r>
      <w:r w:rsidRPr="00C3081F">
        <w:rPr>
          <w:rFonts w:ascii="Times New Roman" w:hAnsi="Times New Roman" w:cs="Times New Roman"/>
          <w:b/>
          <w:i/>
          <w:sz w:val="20"/>
          <w:szCs w:val="20"/>
        </w:rPr>
        <w:t>transmit diversity for encoding a TB if</w:t>
      </w:r>
      <w:r>
        <w:rPr>
          <w:rFonts w:ascii="Times New Roman" w:hAnsi="Times New Roman" w:cs="Times New Roman"/>
          <w:b/>
          <w:i/>
          <w:sz w:val="20"/>
          <w:szCs w:val="20"/>
        </w:rPr>
        <w:t xml:space="preserve"> the following two conditions hold:</w:t>
      </w:r>
    </w:p>
    <w:p w14:paraId="2FF13760" w14:textId="77777777" w:rsidR="007A5FFD" w:rsidRDefault="007A5FFD" w:rsidP="007A5FFD">
      <w:pPr>
        <w:pStyle w:val="ListParagraph"/>
        <w:numPr>
          <w:ilvl w:val="1"/>
          <w:numId w:val="13"/>
        </w:numPr>
        <w:rPr>
          <w:rFonts w:ascii="Times New Roman" w:hAnsi="Times New Roman" w:cs="Times New Roman"/>
          <w:b/>
          <w:i/>
          <w:sz w:val="20"/>
          <w:szCs w:val="20"/>
        </w:rPr>
      </w:pPr>
      <w:r>
        <w:rPr>
          <w:rFonts w:ascii="Times New Roman" w:hAnsi="Times New Roman" w:cs="Times New Roman"/>
          <w:b/>
          <w:i/>
          <w:sz w:val="20"/>
          <w:szCs w:val="20"/>
        </w:rPr>
        <w:t>The service associated with the TB allows the use of non-transparent transmit diversity.</w:t>
      </w:r>
    </w:p>
    <w:p w14:paraId="53E63B89" w14:textId="77777777" w:rsidR="007A5FFD" w:rsidRDefault="007A5FFD" w:rsidP="007A5FFD">
      <w:pPr>
        <w:pStyle w:val="ListParagraph"/>
        <w:numPr>
          <w:ilvl w:val="1"/>
          <w:numId w:val="13"/>
        </w:numPr>
        <w:rPr>
          <w:rFonts w:ascii="Times New Roman" w:hAnsi="Times New Roman" w:cs="Times New Roman"/>
          <w:b/>
          <w:i/>
          <w:sz w:val="20"/>
          <w:szCs w:val="20"/>
        </w:rPr>
      </w:pPr>
      <w:r>
        <w:rPr>
          <w:rFonts w:ascii="Times New Roman" w:hAnsi="Times New Roman" w:cs="Times New Roman"/>
          <w:b/>
          <w:i/>
          <w:sz w:val="20"/>
          <w:szCs w:val="20"/>
        </w:rPr>
        <w:t>There are no PHY-layer restrictions on the use of non-transparent transmit diversity.</w:t>
      </w:r>
    </w:p>
    <w:p w14:paraId="42307F47" w14:textId="77777777" w:rsidR="007A5FFD" w:rsidRPr="006E39CD" w:rsidRDefault="007A5FFD" w:rsidP="007A5FFD">
      <w:pPr>
        <w:rPr>
          <w:b/>
          <w:i/>
        </w:rPr>
      </w:pPr>
      <w:r w:rsidRPr="006E39CD">
        <w:rPr>
          <w:b/>
          <w:i/>
        </w:rPr>
        <w:t xml:space="preserve">Proposal </w:t>
      </w:r>
      <w:r>
        <w:rPr>
          <w:b/>
          <w:i/>
        </w:rPr>
        <w:t>3</w:t>
      </w:r>
      <w:r w:rsidRPr="006E39CD">
        <w:rPr>
          <w:b/>
          <w:i/>
        </w:rPr>
        <w:t>:</w:t>
      </w:r>
    </w:p>
    <w:p w14:paraId="598F9E9C" w14:textId="77777777" w:rsidR="007A5FFD" w:rsidRDefault="007A5FFD" w:rsidP="007A5FFD">
      <w:pPr>
        <w:pStyle w:val="ListParagraph"/>
        <w:numPr>
          <w:ilvl w:val="0"/>
          <w:numId w:val="18"/>
        </w:numPr>
        <w:rPr>
          <w:rFonts w:ascii="Times New Roman" w:hAnsi="Times New Roman" w:cs="Times New Roman"/>
          <w:b/>
          <w:i/>
          <w:sz w:val="20"/>
          <w:szCs w:val="20"/>
        </w:rPr>
      </w:pPr>
      <w:r>
        <w:rPr>
          <w:rFonts w:ascii="Times New Roman" w:hAnsi="Times New Roman" w:cs="Times New Roman"/>
          <w:b/>
          <w:i/>
          <w:sz w:val="20"/>
          <w:szCs w:val="20"/>
        </w:rPr>
        <w:t>Non-transparent transmit diversity for PSSCH shall not be used under the following conditions.</w:t>
      </w:r>
    </w:p>
    <w:p w14:paraId="75C49C03" w14:textId="77777777" w:rsidR="007A5FFD" w:rsidRDefault="007A5FFD" w:rsidP="007A5FFD">
      <w:pPr>
        <w:pStyle w:val="ListParagraph"/>
        <w:numPr>
          <w:ilvl w:val="1"/>
          <w:numId w:val="18"/>
        </w:numPr>
        <w:rPr>
          <w:rFonts w:ascii="Times New Roman" w:hAnsi="Times New Roman" w:cs="Times New Roman"/>
          <w:b/>
          <w:i/>
          <w:sz w:val="20"/>
          <w:szCs w:val="20"/>
        </w:rPr>
      </w:pPr>
      <w:r>
        <w:rPr>
          <w:rFonts w:ascii="Times New Roman" w:hAnsi="Times New Roman" w:cs="Times New Roman"/>
          <w:b/>
          <w:i/>
          <w:sz w:val="20"/>
          <w:szCs w:val="20"/>
        </w:rPr>
        <w:t>If the ratio of resources containing decoded Rel-14 transmissions to the total number of resources is above a (pre-)configured threshold for that pool;</w:t>
      </w:r>
    </w:p>
    <w:p w14:paraId="5BB133E0" w14:textId="77777777" w:rsidR="007A5FFD" w:rsidRDefault="007A5FFD" w:rsidP="007A5FFD">
      <w:pPr>
        <w:pStyle w:val="ListParagraph"/>
        <w:numPr>
          <w:ilvl w:val="2"/>
          <w:numId w:val="18"/>
        </w:numPr>
        <w:rPr>
          <w:rFonts w:ascii="Times New Roman" w:hAnsi="Times New Roman" w:cs="Times New Roman"/>
          <w:b/>
          <w:i/>
          <w:sz w:val="20"/>
          <w:szCs w:val="20"/>
        </w:rPr>
      </w:pPr>
      <w:r>
        <w:rPr>
          <w:rFonts w:ascii="Times New Roman" w:hAnsi="Times New Roman" w:cs="Times New Roman"/>
          <w:b/>
          <w:i/>
          <w:sz w:val="20"/>
          <w:szCs w:val="20"/>
        </w:rPr>
        <w:t>Setting the threshold to 0 prevents altogether the use of transmission diversity in the pool.</w:t>
      </w:r>
    </w:p>
    <w:p w14:paraId="154AE8EC" w14:textId="38200925" w:rsidR="007A5FFD" w:rsidRPr="002E2A5B" w:rsidRDefault="007A5FFD" w:rsidP="007A5FFD">
      <w:pPr>
        <w:pStyle w:val="ListParagraph"/>
        <w:numPr>
          <w:ilvl w:val="2"/>
          <w:numId w:val="18"/>
        </w:numPr>
        <w:rPr>
          <w:rFonts w:ascii="Times New Roman" w:hAnsi="Times New Roman" w:cs="Times New Roman"/>
          <w:b/>
          <w:i/>
          <w:sz w:val="20"/>
          <w:szCs w:val="20"/>
        </w:rPr>
      </w:pPr>
      <w:r w:rsidRPr="002E2A5B">
        <w:rPr>
          <w:rFonts w:ascii="Times New Roman" w:hAnsi="Times New Roman" w:cs="Times New Roman"/>
          <w:b/>
          <w:i/>
          <w:sz w:val="20"/>
          <w:szCs w:val="20"/>
        </w:rPr>
        <w:t>If a potential Rel-14 transmission is detected on the resource selected by the Rel-15 UE.</w:t>
      </w:r>
    </w:p>
    <w:p w14:paraId="738AB776" w14:textId="77777777" w:rsidR="007A5FFD" w:rsidRPr="006E39CD" w:rsidRDefault="007A5FFD" w:rsidP="007A5FFD">
      <w:pPr>
        <w:rPr>
          <w:b/>
          <w:i/>
        </w:rPr>
      </w:pPr>
      <w:r w:rsidRPr="006E39CD">
        <w:rPr>
          <w:b/>
          <w:i/>
        </w:rPr>
        <w:t xml:space="preserve">Proposal </w:t>
      </w:r>
      <w:r>
        <w:rPr>
          <w:b/>
          <w:i/>
        </w:rPr>
        <w:t>4</w:t>
      </w:r>
      <w:r w:rsidRPr="006E39CD">
        <w:rPr>
          <w:b/>
          <w:i/>
        </w:rPr>
        <w:t>:</w:t>
      </w:r>
    </w:p>
    <w:p w14:paraId="2BAD0F06" w14:textId="535D125F" w:rsidR="007A5FFD" w:rsidRDefault="007A5FFD" w:rsidP="007A5FFD">
      <w:pPr>
        <w:pStyle w:val="ListParagraph"/>
        <w:numPr>
          <w:ilvl w:val="0"/>
          <w:numId w:val="18"/>
        </w:numPr>
        <w:rPr>
          <w:rFonts w:ascii="Times New Roman" w:hAnsi="Times New Roman" w:cs="Times New Roman"/>
          <w:b/>
          <w:i/>
          <w:sz w:val="20"/>
          <w:szCs w:val="20"/>
        </w:rPr>
      </w:pPr>
      <w:r>
        <w:rPr>
          <w:rFonts w:ascii="Times New Roman" w:hAnsi="Times New Roman" w:cs="Times New Roman"/>
          <w:b/>
          <w:i/>
          <w:sz w:val="20"/>
          <w:szCs w:val="20"/>
        </w:rPr>
        <w:t>RSRP measurements on transmissions using non-transparent diversity are increased by 3 dB.</w:t>
      </w:r>
    </w:p>
    <w:p w14:paraId="1E92E69B" w14:textId="77777777" w:rsidR="007A5FFD" w:rsidRPr="002E2A5B" w:rsidRDefault="007A5FFD" w:rsidP="002E2A5B">
      <w:pPr>
        <w:rPr>
          <w:b/>
          <w:i/>
        </w:rPr>
      </w:pPr>
    </w:p>
    <w:p w14:paraId="03B0E74F" w14:textId="77777777" w:rsidR="007A5FFD" w:rsidRDefault="007A5FFD" w:rsidP="007A5FFD">
      <w:pPr>
        <w:pStyle w:val="BodyText"/>
        <w:spacing w:after="240"/>
        <w:jc w:val="both"/>
        <w:rPr>
          <w:b/>
          <w:i/>
          <w:sz w:val="20"/>
          <w:szCs w:val="20"/>
        </w:rPr>
      </w:pPr>
      <w:r>
        <w:rPr>
          <w:b/>
          <w:i/>
          <w:sz w:val="20"/>
          <w:szCs w:val="20"/>
        </w:rPr>
        <w:t>Proposal 5:</w:t>
      </w:r>
    </w:p>
    <w:p w14:paraId="34A66B49" w14:textId="77777777" w:rsidR="007A5FFD" w:rsidRDefault="007A5FFD" w:rsidP="007A5FFD">
      <w:pPr>
        <w:pStyle w:val="BodyText"/>
        <w:numPr>
          <w:ilvl w:val="0"/>
          <w:numId w:val="18"/>
        </w:numPr>
        <w:jc w:val="both"/>
        <w:rPr>
          <w:b/>
          <w:i/>
          <w:sz w:val="20"/>
          <w:szCs w:val="20"/>
        </w:rPr>
      </w:pPr>
      <w:r>
        <w:rPr>
          <w:b/>
          <w:i/>
          <w:sz w:val="20"/>
          <w:szCs w:val="20"/>
        </w:rPr>
        <w:t>Both transparent and non-transparent transmit diversity are supported for PSSCH.</w:t>
      </w:r>
    </w:p>
    <w:p w14:paraId="48217DBE" w14:textId="77777777" w:rsidR="007A5FFD" w:rsidRDefault="007A5FFD" w:rsidP="007A5FFD">
      <w:pPr>
        <w:pStyle w:val="BodyText"/>
        <w:numPr>
          <w:ilvl w:val="1"/>
          <w:numId w:val="18"/>
        </w:numPr>
        <w:jc w:val="both"/>
        <w:rPr>
          <w:b/>
          <w:i/>
          <w:sz w:val="20"/>
          <w:szCs w:val="20"/>
        </w:rPr>
      </w:pPr>
      <w:r>
        <w:rPr>
          <w:b/>
          <w:i/>
          <w:sz w:val="20"/>
          <w:szCs w:val="20"/>
        </w:rPr>
        <w:t>For non-transparent diversity, SFBC is used (confirms the working assumption).</w:t>
      </w:r>
    </w:p>
    <w:p w14:paraId="68C2F10B" w14:textId="2F8C5709" w:rsidR="007A5FFD" w:rsidRDefault="007A5FFD" w:rsidP="007A5FFD">
      <w:pPr>
        <w:pStyle w:val="BodyText"/>
        <w:numPr>
          <w:ilvl w:val="1"/>
          <w:numId w:val="18"/>
        </w:numPr>
        <w:jc w:val="both"/>
        <w:rPr>
          <w:b/>
          <w:i/>
          <w:sz w:val="20"/>
          <w:szCs w:val="20"/>
        </w:rPr>
      </w:pPr>
      <w:r w:rsidRPr="002E2A5B">
        <w:rPr>
          <w:b/>
          <w:i/>
          <w:sz w:val="20"/>
          <w:szCs w:val="20"/>
        </w:rPr>
        <w:t>For transparent diversity, SD-CDD is used.</w:t>
      </w:r>
    </w:p>
    <w:p w14:paraId="661CCF7F" w14:textId="77777777" w:rsidR="007A5FFD" w:rsidRPr="00EA2981" w:rsidRDefault="007A5FFD" w:rsidP="007A5FFD">
      <w:pPr>
        <w:pStyle w:val="BodyText"/>
        <w:spacing w:after="240"/>
        <w:jc w:val="both"/>
        <w:rPr>
          <w:b/>
          <w:i/>
          <w:sz w:val="20"/>
          <w:szCs w:val="20"/>
        </w:rPr>
      </w:pPr>
      <w:r w:rsidRPr="00EA2981">
        <w:rPr>
          <w:b/>
          <w:i/>
          <w:sz w:val="20"/>
          <w:szCs w:val="20"/>
        </w:rPr>
        <w:t xml:space="preserve">Proposal </w:t>
      </w:r>
      <w:r>
        <w:rPr>
          <w:b/>
          <w:i/>
          <w:sz w:val="20"/>
          <w:szCs w:val="20"/>
        </w:rPr>
        <w:t>6</w:t>
      </w:r>
      <w:r w:rsidRPr="00EA2981">
        <w:rPr>
          <w:b/>
          <w:i/>
          <w:sz w:val="20"/>
          <w:szCs w:val="20"/>
        </w:rPr>
        <w:t xml:space="preserve">: </w:t>
      </w:r>
    </w:p>
    <w:p w14:paraId="7A51241C" w14:textId="77777777" w:rsidR="007A5FFD" w:rsidRDefault="007A5FFD" w:rsidP="007A5FFD">
      <w:pPr>
        <w:numPr>
          <w:ilvl w:val="0"/>
          <w:numId w:val="13"/>
        </w:numPr>
        <w:spacing w:after="0"/>
        <w:jc w:val="both"/>
        <w:rPr>
          <w:b/>
          <w:i/>
          <w:lang w:val="en-US"/>
        </w:rPr>
      </w:pPr>
      <w:r>
        <w:rPr>
          <w:b/>
          <w:i/>
          <w:lang w:val="en-US"/>
        </w:rPr>
        <w:t xml:space="preserve">When small delay CDD is applied to PSSCH, </w:t>
      </w:r>
      <w:r w:rsidRPr="00EA2981">
        <w:rPr>
          <w:b/>
          <w:i/>
          <w:lang w:val="en-US"/>
        </w:rPr>
        <w:t>the cyclic delay value is left for UE implementation. However, an upper bound and a lower bound of the used cyclic delay value are (pre-)configured.</w:t>
      </w:r>
    </w:p>
    <w:p w14:paraId="15E3325F" w14:textId="77777777" w:rsidR="007A5FFD" w:rsidRDefault="007A5FFD" w:rsidP="007A5FFD">
      <w:pPr>
        <w:numPr>
          <w:ilvl w:val="1"/>
          <w:numId w:val="13"/>
        </w:numPr>
        <w:spacing w:after="0"/>
        <w:jc w:val="both"/>
        <w:rPr>
          <w:b/>
          <w:i/>
          <w:lang w:val="en-US"/>
        </w:rPr>
      </w:pPr>
      <w:r>
        <w:rPr>
          <w:b/>
          <w:i/>
          <w:lang w:val="en-US"/>
        </w:rPr>
        <w:t>The cyclic delay value applied to PSSCH can be different with that used for PSCCH.</w:t>
      </w:r>
    </w:p>
    <w:p w14:paraId="35F3D41B" w14:textId="0EF34FD2" w:rsidR="007A5FFD" w:rsidRPr="002E2A5B" w:rsidRDefault="007A5FFD" w:rsidP="002E2A5B">
      <w:pPr>
        <w:numPr>
          <w:ilvl w:val="1"/>
          <w:numId w:val="13"/>
        </w:numPr>
        <w:spacing w:after="0"/>
        <w:jc w:val="both"/>
        <w:rPr>
          <w:b/>
          <w:i/>
        </w:rPr>
      </w:pPr>
      <w:r>
        <w:rPr>
          <w:b/>
          <w:i/>
          <w:lang w:val="en-US"/>
        </w:rPr>
        <w:t>The (pre-)configured upper and lower bounds can be different with that (pre-)configured for PSCCH.</w:t>
      </w:r>
    </w:p>
    <w:p w14:paraId="400B9214" w14:textId="77777777" w:rsidR="007A5FFD" w:rsidRPr="002E2A5B" w:rsidRDefault="007A5FFD" w:rsidP="002E2A5B">
      <w:pPr>
        <w:rPr>
          <w:b/>
          <w:i/>
          <w:lang w:val="en-US"/>
        </w:rPr>
      </w:pPr>
    </w:p>
    <w:p w14:paraId="5036C165" w14:textId="2175BC10" w:rsidR="00706C19" w:rsidRPr="009073CF" w:rsidRDefault="00706C19" w:rsidP="00706C19">
      <w:pPr>
        <w:pStyle w:val="Heading1"/>
      </w:pPr>
      <w:r w:rsidRPr="009073CF">
        <w:t>Reference</w:t>
      </w:r>
    </w:p>
    <w:p w14:paraId="25661003" w14:textId="1ACD4471" w:rsidR="0034705A" w:rsidRPr="00467871" w:rsidRDefault="006F1805" w:rsidP="00467871">
      <w:pPr>
        <w:pStyle w:val="ListParagraph"/>
        <w:numPr>
          <w:ilvl w:val="0"/>
          <w:numId w:val="7"/>
        </w:numPr>
        <w:ind w:left="567" w:hanging="425"/>
        <w:rPr>
          <w:rFonts w:ascii="Times New Roman" w:hAnsi="Times New Roman" w:cs="Times New Roman"/>
          <w:color w:val="312E25"/>
          <w:sz w:val="20"/>
          <w:szCs w:val="20"/>
          <w:lang w:eastAsia="sv-SE"/>
        </w:rPr>
      </w:pPr>
      <w:bookmarkStart w:id="8" w:name="_Ref477334356"/>
      <w:bookmarkStart w:id="9" w:name="_Ref494462036"/>
      <w:bookmarkStart w:id="10" w:name="_Ref462922309"/>
      <w:bookmarkStart w:id="11" w:name="_Ref450915949"/>
      <w:r>
        <w:rPr>
          <w:rFonts w:ascii="Times New Roman" w:hAnsi="Times New Roman" w:cs="Times New Roman"/>
          <w:color w:val="312E25"/>
          <w:sz w:val="20"/>
          <w:szCs w:val="20"/>
          <w:lang w:eastAsia="sv-SE"/>
        </w:rPr>
        <w:t>R</w:t>
      </w:r>
      <w:r w:rsidR="0034705A" w:rsidRPr="00467871">
        <w:rPr>
          <w:rFonts w:ascii="Times New Roman" w:hAnsi="Times New Roman" w:cs="Times New Roman"/>
          <w:color w:val="312E25"/>
          <w:sz w:val="20"/>
          <w:szCs w:val="20"/>
          <w:lang w:eastAsia="sv-SE"/>
        </w:rPr>
        <w:t>P-170798</w:t>
      </w:r>
      <w:r w:rsidR="0034705A" w:rsidRPr="00467871">
        <w:rPr>
          <w:rFonts w:ascii="Times New Roman" w:hAnsi="Times New Roman" w:cs="Times New Roman"/>
          <w:color w:val="312E25"/>
          <w:sz w:val="20"/>
          <w:szCs w:val="20"/>
          <w:lang w:eastAsia="sv-SE"/>
        </w:rPr>
        <w:tab/>
        <w:t>New WID on 3GPP V2X Phase 2</w:t>
      </w:r>
      <w:bookmarkEnd w:id="8"/>
      <w:bookmarkEnd w:id="9"/>
    </w:p>
    <w:p w14:paraId="532C46EC" w14:textId="349A21DA" w:rsidR="00236AB5" w:rsidRPr="005F7FDA" w:rsidRDefault="00236AB5" w:rsidP="00CC2D84">
      <w:pPr>
        <w:pStyle w:val="ListParagraph"/>
        <w:numPr>
          <w:ilvl w:val="0"/>
          <w:numId w:val="7"/>
        </w:numPr>
        <w:ind w:left="567" w:hanging="425"/>
        <w:rPr>
          <w:rFonts w:ascii="Times New Roman" w:hAnsi="Times New Roman" w:cs="Times New Roman"/>
          <w:color w:val="312E25"/>
          <w:sz w:val="20"/>
          <w:szCs w:val="20"/>
          <w:lang w:eastAsia="sv-SE"/>
        </w:rPr>
      </w:pPr>
      <w:bookmarkStart w:id="12" w:name="_Ref494461017"/>
      <w:r w:rsidRPr="005F7FDA">
        <w:rPr>
          <w:rFonts w:ascii="Times New Roman" w:hAnsi="Times New Roman" w:cs="Times New Roman"/>
          <w:color w:val="312E25"/>
          <w:sz w:val="20"/>
          <w:szCs w:val="20"/>
          <w:lang w:eastAsia="sv-SE"/>
        </w:rPr>
        <w:t xml:space="preserve">RAN1#89 </w:t>
      </w:r>
      <w:r w:rsidR="00E024DC">
        <w:rPr>
          <w:rFonts w:ascii="Times New Roman" w:hAnsi="Times New Roman" w:cs="Times New Roman"/>
          <w:color w:val="312E25"/>
          <w:sz w:val="20"/>
          <w:szCs w:val="20"/>
          <w:lang w:eastAsia="sv-SE"/>
        </w:rPr>
        <w:t>Chairman’s notes</w:t>
      </w:r>
      <w:bookmarkEnd w:id="12"/>
    </w:p>
    <w:p w14:paraId="52145C24" w14:textId="4F54FE6C" w:rsidR="00765B77" w:rsidRDefault="00937C1B" w:rsidP="00765B77">
      <w:pPr>
        <w:pStyle w:val="ListParagraph"/>
        <w:numPr>
          <w:ilvl w:val="0"/>
          <w:numId w:val="7"/>
        </w:numPr>
        <w:ind w:left="567" w:hanging="425"/>
        <w:rPr>
          <w:rFonts w:ascii="Times New Roman" w:hAnsi="Times New Roman" w:cs="Times New Roman"/>
          <w:color w:val="312E25"/>
          <w:sz w:val="20"/>
          <w:szCs w:val="20"/>
          <w:lang w:eastAsia="sv-SE"/>
        </w:rPr>
      </w:pPr>
      <w:bookmarkStart w:id="13" w:name="_Ref494461055"/>
      <w:r w:rsidRPr="004B1C86">
        <w:rPr>
          <w:rFonts w:ascii="Times New Roman" w:hAnsi="Times New Roman" w:cs="Times New Roman"/>
          <w:color w:val="312E25"/>
          <w:sz w:val="20"/>
          <w:szCs w:val="20"/>
          <w:lang w:eastAsia="sv-SE"/>
        </w:rPr>
        <w:t>RAN1#</w:t>
      </w:r>
      <w:r>
        <w:rPr>
          <w:rFonts w:ascii="Times New Roman" w:hAnsi="Times New Roman" w:cs="Times New Roman"/>
          <w:color w:val="312E25"/>
          <w:sz w:val="20"/>
          <w:szCs w:val="20"/>
          <w:lang w:eastAsia="sv-SE"/>
        </w:rPr>
        <w:t>90</w:t>
      </w:r>
      <w:r w:rsidRPr="004B1C86">
        <w:rPr>
          <w:rFonts w:ascii="Times New Roman" w:hAnsi="Times New Roman" w:cs="Times New Roman"/>
          <w:color w:val="312E25"/>
          <w:sz w:val="20"/>
          <w:szCs w:val="20"/>
          <w:lang w:eastAsia="sv-SE"/>
        </w:rPr>
        <w:t xml:space="preserve"> </w:t>
      </w:r>
      <w:r w:rsidR="00E024DC">
        <w:rPr>
          <w:rFonts w:ascii="Times New Roman" w:hAnsi="Times New Roman" w:cs="Times New Roman"/>
          <w:color w:val="312E25"/>
          <w:sz w:val="20"/>
          <w:szCs w:val="20"/>
          <w:lang w:eastAsia="sv-SE"/>
        </w:rPr>
        <w:t>Chairman’s notes</w:t>
      </w:r>
      <w:bookmarkStart w:id="14" w:name="_Ref494450096"/>
      <w:bookmarkStart w:id="15" w:name="_Ref494461076"/>
      <w:bookmarkEnd w:id="13"/>
    </w:p>
    <w:p w14:paraId="7B641FD4" w14:textId="0AB15153" w:rsidR="00342DA1" w:rsidRDefault="00342DA1" w:rsidP="00765B77">
      <w:pPr>
        <w:pStyle w:val="ListParagraph"/>
        <w:numPr>
          <w:ilvl w:val="0"/>
          <w:numId w:val="7"/>
        </w:numPr>
        <w:ind w:left="567" w:hanging="425"/>
        <w:rPr>
          <w:rFonts w:ascii="Times New Roman" w:hAnsi="Times New Roman" w:cs="Times New Roman"/>
          <w:color w:val="312E25"/>
          <w:sz w:val="20"/>
          <w:szCs w:val="20"/>
          <w:lang w:eastAsia="sv-SE"/>
        </w:rPr>
      </w:pPr>
      <w:bookmarkStart w:id="16" w:name="_Ref506365149"/>
      <w:r w:rsidRPr="004B1C86">
        <w:rPr>
          <w:rFonts w:ascii="Times New Roman" w:hAnsi="Times New Roman" w:cs="Times New Roman"/>
          <w:color w:val="312E25"/>
          <w:sz w:val="20"/>
          <w:szCs w:val="20"/>
          <w:lang w:eastAsia="sv-SE"/>
        </w:rPr>
        <w:t>RAN1#</w:t>
      </w:r>
      <w:r>
        <w:rPr>
          <w:rFonts w:ascii="Times New Roman" w:hAnsi="Times New Roman" w:cs="Times New Roman"/>
          <w:color w:val="312E25"/>
          <w:sz w:val="20"/>
          <w:szCs w:val="20"/>
          <w:lang w:eastAsia="sv-SE"/>
        </w:rPr>
        <w:t>90bis</w:t>
      </w:r>
      <w:r w:rsidRPr="004B1C86">
        <w:rPr>
          <w:rFonts w:ascii="Times New Roman" w:hAnsi="Times New Roman" w:cs="Times New Roman"/>
          <w:color w:val="312E25"/>
          <w:sz w:val="20"/>
          <w:szCs w:val="20"/>
          <w:lang w:eastAsia="sv-SE"/>
        </w:rPr>
        <w:t xml:space="preserve"> </w:t>
      </w:r>
      <w:r>
        <w:rPr>
          <w:rFonts w:ascii="Times New Roman" w:hAnsi="Times New Roman" w:cs="Times New Roman"/>
          <w:color w:val="312E25"/>
          <w:sz w:val="20"/>
          <w:szCs w:val="20"/>
          <w:lang w:eastAsia="sv-SE"/>
        </w:rPr>
        <w:t>Chairman’s notes</w:t>
      </w:r>
      <w:bookmarkEnd w:id="16"/>
    </w:p>
    <w:p w14:paraId="5F615DBA" w14:textId="3B0A3746" w:rsidR="00C97730" w:rsidRDefault="00C97730" w:rsidP="00C97730">
      <w:pPr>
        <w:pStyle w:val="ListParagraph"/>
        <w:numPr>
          <w:ilvl w:val="0"/>
          <w:numId w:val="7"/>
        </w:numPr>
        <w:ind w:left="567" w:hanging="425"/>
        <w:rPr>
          <w:rFonts w:ascii="Times New Roman" w:hAnsi="Times New Roman" w:cs="Times New Roman"/>
          <w:color w:val="312E25"/>
          <w:sz w:val="20"/>
          <w:szCs w:val="20"/>
          <w:lang w:eastAsia="sv-SE"/>
        </w:rPr>
      </w:pPr>
      <w:bookmarkStart w:id="17" w:name="_Ref506292582"/>
      <w:r w:rsidRPr="004B1C86">
        <w:rPr>
          <w:rFonts w:ascii="Times New Roman" w:hAnsi="Times New Roman" w:cs="Times New Roman"/>
          <w:color w:val="312E25"/>
          <w:sz w:val="20"/>
          <w:szCs w:val="20"/>
          <w:lang w:eastAsia="sv-SE"/>
        </w:rPr>
        <w:t>RAN1#</w:t>
      </w:r>
      <w:r>
        <w:rPr>
          <w:rFonts w:ascii="Times New Roman" w:hAnsi="Times New Roman" w:cs="Times New Roman"/>
          <w:color w:val="312E25"/>
          <w:sz w:val="20"/>
          <w:szCs w:val="20"/>
          <w:lang w:eastAsia="sv-SE"/>
        </w:rPr>
        <w:t>91</w:t>
      </w:r>
      <w:r w:rsidRPr="004B1C86">
        <w:rPr>
          <w:rFonts w:ascii="Times New Roman" w:hAnsi="Times New Roman" w:cs="Times New Roman"/>
          <w:color w:val="312E25"/>
          <w:sz w:val="20"/>
          <w:szCs w:val="20"/>
          <w:lang w:eastAsia="sv-SE"/>
        </w:rPr>
        <w:t xml:space="preserve"> </w:t>
      </w:r>
      <w:r>
        <w:rPr>
          <w:rFonts w:ascii="Times New Roman" w:hAnsi="Times New Roman" w:cs="Times New Roman"/>
          <w:color w:val="312E25"/>
          <w:sz w:val="20"/>
          <w:szCs w:val="20"/>
          <w:lang w:eastAsia="sv-SE"/>
        </w:rPr>
        <w:t>Chairman’s notes</w:t>
      </w:r>
      <w:bookmarkEnd w:id="17"/>
    </w:p>
    <w:p w14:paraId="11F75EC9" w14:textId="231C77E4" w:rsidR="00B270EC" w:rsidRPr="00B270EC" w:rsidRDefault="00B270EC" w:rsidP="00B270EC">
      <w:pPr>
        <w:pStyle w:val="ListParagraph"/>
        <w:numPr>
          <w:ilvl w:val="0"/>
          <w:numId w:val="7"/>
        </w:numPr>
        <w:ind w:left="567" w:hanging="425"/>
        <w:rPr>
          <w:rFonts w:ascii="Times New Roman" w:hAnsi="Times New Roman" w:cs="Times New Roman"/>
          <w:color w:val="312E25"/>
          <w:sz w:val="20"/>
          <w:szCs w:val="20"/>
          <w:lang w:eastAsia="sv-SE"/>
        </w:rPr>
      </w:pPr>
      <w:r w:rsidRPr="004B1C86">
        <w:rPr>
          <w:rFonts w:ascii="Times New Roman" w:hAnsi="Times New Roman" w:cs="Times New Roman"/>
          <w:color w:val="312E25"/>
          <w:sz w:val="20"/>
          <w:szCs w:val="20"/>
          <w:lang w:eastAsia="sv-SE"/>
        </w:rPr>
        <w:t>RAN1#</w:t>
      </w:r>
      <w:r>
        <w:rPr>
          <w:rFonts w:ascii="Times New Roman" w:hAnsi="Times New Roman" w:cs="Times New Roman"/>
          <w:color w:val="312E25"/>
          <w:sz w:val="20"/>
          <w:szCs w:val="20"/>
          <w:lang w:eastAsia="sv-SE"/>
        </w:rPr>
        <w:t>92</w:t>
      </w:r>
      <w:r w:rsidRPr="004B1C86">
        <w:rPr>
          <w:rFonts w:ascii="Times New Roman" w:hAnsi="Times New Roman" w:cs="Times New Roman"/>
          <w:color w:val="312E25"/>
          <w:sz w:val="20"/>
          <w:szCs w:val="20"/>
          <w:lang w:eastAsia="sv-SE"/>
        </w:rPr>
        <w:t xml:space="preserve"> </w:t>
      </w:r>
      <w:r>
        <w:rPr>
          <w:rFonts w:ascii="Times New Roman" w:hAnsi="Times New Roman" w:cs="Times New Roman"/>
          <w:color w:val="312E25"/>
          <w:sz w:val="20"/>
          <w:szCs w:val="20"/>
          <w:lang w:eastAsia="sv-SE"/>
        </w:rPr>
        <w:t>Chairman’s notes</w:t>
      </w:r>
    </w:p>
    <w:p w14:paraId="72C4C572" w14:textId="5BDD29AF" w:rsidR="00C97730" w:rsidRPr="00A85EFB" w:rsidRDefault="00C97730" w:rsidP="00C97730">
      <w:pPr>
        <w:pStyle w:val="ListParagraph"/>
        <w:numPr>
          <w:ilvl w:val="0"/>
          <w:numId w:val="7"/>
        </w:numPr>
        <w:ind w:left="567" w:hanging="425"/>
        <w:rPr>
          <w:rFonts w:ascii="Times New Roman" w:hAnsi="Times New Roman" w:cs="Times New Roman"/>
          <w:color w:val="312E25"/>
          <w:sz w:val="20"/>
          <w:szCs w:val="20"/>
          <w:lang w:eastAsia="sv-SE"/>
        </w:rPr>
      </w:pPr>
      <w:bookmarkStart w:id="18" w:name="_Ref506292678"/>
      <w:r w:rsidRPr="00A85EFB">
        <w:rPr>
          <w:rFonts w:ascii="Times New Roman" w:hAnsi="Times New Roman" w:cs="Times New Roman"/>
          <w:color w:val="312E25"/>
          <w:sz w:val="20"/>
          <w:szCs w:val="20"/>
          <w:lang w:eastAsia="sv-SE"/>
        </w:rPr>
        <w:t>R1-1801310, “LS reply on transmit diversity impact on V2X PC5</w:t>
      </w:r>
      <w:r w:rsidR="00164BEA">
        <w:rPr>
          <w:rFonts w:ascii="Times New Roman" w:hAnsi="Times New Roman" w:cs="Times New Roman"/>
          <w:color w:val="312E25"/>
          <w:sz w:val="20"/>
          <w:szCs w:val="20"/>
          <w:lang w:eastAsia="sv-SE"/>
        </w:rPr>
        <w:t>,</w:t>
      </w:r>
      <w:r w:rsidRPr="00A85EFB">
        <w:rPr>
          <w:rFonts w:ascii="Times New Roman" w:hAnsi="Times New Roman" w:cs="Times New Roman"/>
          <w:color w:val="312E25"/>
          <w:sz w:val="20"/>
          <w:szCs w:val="20"/>
          <w:lang w:eastAsia="sv-SE"/>
        </w:rPr>
        <w:t>”</w:t>
      </w:r>
      <w:bookmarkEnd w:id="18"/>
      <w:r w:rsidR="00164BEA">
        <w:rPr>
          <w:rFonts w:ascii="Times New Roman" w:hAnsi="Times New Roman" w:cs="Times New Roman"/>
          <w:color w:val="312E25"/>
          <w:sz w:val="20"/>
          <w:szCs w:val="20"/>
          <w:lang w:eastAsia="sv-SE"/>
        </w:rPr>
        <w:t xml:space="preserve"> RAN4</w:t>
      </w:r>
    </w:p>
    <w:p w14:paraId="5C21ECBF" w14:textId="7BFA751C" w:rsidR="003314CC" w:rsidRPr="00C3081F" w:rsidRDefault="00450F97" w:rsidP="00C3081F">
      <w:pPr>
        <w:pStyle w:val="ListParagraph"/>
        <w:numPr>
          <w:ilvl w:val="0"/>
          <w:numId w:val="7"/>
        </w:numPr>
        <w:ind w:left="567" w:hanging="425"/>
        <w:rPr>
          <w:rFonts w:ascii="Times New Roman" w:hAnsi="Times New Roman" w:cs="Times New Roman"/>
          <w:color w:val="312E25"/>
          <w:sz w:val="20"/>
          <w:szCs w:val="20"/>
          <w:lang w:eastAsia="sv-SE"/>
        </w:rPr>
      </w:pPr>
      <w:bookmarkStart w:id="19" w:name="_Ref494462115"/>
      <w:r w:rsidRPr="002E2A5B">
        <w:rPr>
          <w:rFonts w:ascii="Times New Roman" w:hAnsi="Times New Roman" w:cs="Times New Roman"/>
          <w:color w:val="312E25"/>
          <w:sz w:val="20"/>
          <w:szCs w:val="20"/>
          <w:lang w:eastAsia="sv-SE"/>
        </w:rPr>
        <w:lastRenderedPageBreak/>
        <w:t>R1-1804635</w:t>
      </w:r>
      <w:r w:rsidR="004C542E" w:rsidRPr="002E2A5B">
        <w:rPr>
          <w:rFonts w:ascii="Times New Roman" w:hAnsi="Times New Roman" w:cs="Times New Roman"/>
          <w:color w:val="312E25"/>
          <w:sz w:val="20"/>
          <w:szCs w:val="20"/>
          <w:lang w:eastAsia="sv-SE"/>
        </w:rPr>
        <w:t>,</w:t>
      </w:r>
      <w:r w:rsidR="004C542E" w:rsidRPr="00C3081F">
        <w:rPr>
          <w:rFonts w:ascii="Times New Roman" w:hAnsi="Times New Roman" w:cs="Times New Roman"/>
          <w:color w:val="312E25"/>
          <w:sz w:val="20"/>
          <w:szCs w:val="20"/>
          <w:lang w:eastAsia="sv-SE"/>
        </w:rPr>
        <w:t xml:space="preserve"> “</w:t>
      </w:r>
      <w:r w:rsidR="00777164" w:rsidRPr="00C3081F">
        <w:rPr>
          <w:rFonts w:ascii="Times New Roman" w:hAnsi="Times New Roman" w:cs="Times New Roman"/>
          <w:color w:val="312E25"/>
          <w:sz w:val="20"/>
          <w:szCs w:val="20"/>
          <w:lang w:eastAsia="sv-SE"/>
        </w:rPr>
        <w:t>DMRS design for two-port PSSCH transmission</w:t>
      </w:r>
      <w:r w:rsidR="004C542E" w:rsidRPr="00C3081F">
        <w:rPr>
          <w:rFonts w:ascii="Times New Roman" w:hAnsi="Times New Roman" w:cs="Times New Roman"/>
          <w:color w:val="312E25"/>
          <w:sz w:val="20"/>
          <w:szCs w:val="20"/>
          <w:lang w:eastAsia="sv-SE"/>
        </w:rPr>
        <w:t>”, Ericsson</w:t>
      </w:r>
      <w:bookmarkEnd w:id="14"/>
      <w:bookmarkEnd w:id="15"/>
      <w:bookmarkEnd w:id="19"/>
    </w:p>
    <w:p w14:paraId="1C8444F7" w14:textId="05608325" w:rsidR="003314CC" w:rsidRPr="00A85EFB" w:rsidRDefault="00450F97" w:rsidP="00C3081F">
      <w:pPr>
        <w:pStyle w:val="ListParagraph"/>
        <w:numPr>
          <w:ilvl w:val="0"/>
          <w:numId w:val="7"/>
        </w:numPr>
        <w:ind w:left="567" w:hanging="425"/>
        <w:rPr>
          <w:rFonts w:ascii="Times New Roman" w:hAnsi="Times New Roman" w:cs="Times New Roman"/>
          <w:color w:val="312E25"/>
          <w:sz w:val="20"/>
          <w:szCs w:val="20"/>
          <w:lang w:eastAsia="sv-SE"/>
        </w:rPr>
      </w:pPr>
      <w:bookmarkStart w:id="20" w:name="_Ref494461137"/>
      <w:r w:rsidRPr="002E2A5B">
        <w:rPr>
          <w:rFonts w:ascii="Times New Roman" w:hAnsi="Times New Roman" w:cs="Times New Roman"/>
          <w:color w:val="312E25"/>
          <w:sz w:val="20"/>
          <w:szCs w:val="20"/>
          <w:lang w:eastAsia="sv-SE"/>
        </w:rPr>
        <w:t xml:space="preserve">R1-1804634, </w:t>
      </w:r>
      <w:r w:rsidR="00AB1D66" w:rsidRPr="00A85EFB">
        <w:rPr>
          <w:rFonts w:ascii="Times New Roman" w:hAnsi="Times New Roman" w:cs="Times New Roman"/>
          <w:color w:val="312E25"/>
          <w:sz w:val="20"/>
          <w:szCs w:val="20"/>
          <w:lang w:eastAsia="sv-SE"/>
        </w:rPr>
        <w:t>“</w:t>
      </w:r>
      <w:r w:rsidR="00B06104" w:rsidRPr="00A85EFB">
        <w:rPr>
          <w:rFonts w:ascii="Times New Roman" w:hAnsi="Times New Roman" w:cs="Times New Roman"/>
          <w:color w:val="312E25"/>
          <w:sz w:val="20"/>
          <w:szCs w:val="20"/>
          <w:lang w:eastAsia="sv-SE"/>
        </w:rPr>
        <w:t>Evaluation of transmit diversity for V2X</w:t>
      </w:r>
      <w:r w:rsidR="00AB1D66" w:rsidRPr="00A85EFB">
        <w:rPr>
          <w:rFonts w:ascii="Times New Roman" w:hAnsi="Times New Roman" w:cs="Times New Roman"/>
          <w:color w:val="312E25"/>
          <w:sz w:val="20"/>
          <w:szCs w:val="20"/>
          <w:lang w:eastAsia="sv-SE"/>
        </w:rPr>
        <w:t>,” Ericsson</w:t>
      </w:r>
      <w:bookmarkEnd w:id="20"/>
    </w:p>
    <w:p w14:paraId="26F8FF9F" w14:textId="7505240B" w:rsidR="005D6DDB" w:rsidRPr="00F70B49" w:rsidRDefault="00937C1B">
      <w:pPr>
        <w:pStyle w:val="ListParagraph"/>
        <w:numPr>
          <w:ilvl w:val="0"/>
          <w:numId w:val="7"/>
        </w:numPr>
        <w:ind w:left="567" w:hanging="425"/>
        <w:rPr>
          <w:rFonts w:ascii="Times New Roman" w:hAnsi="Times New Roman" w:cs="Times New Roman"/>
          <w:color w:val="312E25"/>
          <w:sz w:val="20"/>
          <w:szCs w:val="20"/>
          <w:lang w:eastAsia="sv-SE"/>
        </w:rPr>
      </w:pPr>
      <w:bookmarkStart w:id="21" w:name="_Ref494114460"/>
      <w:bookmarkStart w:id="22" w:name="_Ref489633106"/>
      <w:r>
        <w:rPr>
          <w:rFonts w:ascii="Times New Roman" w:hAnsi="Times New Roman" w:cs="Times New Roman"/>
          <w:color w:val="312E25"/>
          <w:sz w:val="20"/>
          <w:szCs w:val="20"/>
          <w:lang w:eastAsia="sv-SE"/>
        </w:rPr>
        <w:t xml:space="preserve">Cohda Wireless, MK5 V2X On Board Unit, available on: </w:t>
      </w:r>
      <w:hyperlink r:id="rId13" w:history="1">
        <w:r w:rsidRPr="003869FB">
          <w:rPr>
            <w:rStyle w:val="Hyperlink"/>
            <w:rFonts w:ascii="Times New Roman" w:hAnsi="Times New Roman" w:cs="Times New Roman"/>
            <w:sz w:val="20"/>
            <w:szCs w:val="20"/>
            <w:lang w:eastAsia="sv-SE"/>
          </w:rPr>
          <w:t>http://cohdawireless.com/Portals/0/MK5_OBU_10122015.pdf</w:t>
        </w:r>
      </w:hyperlink>
      <w:r>
        <w:rPr>
          <w:rFonts w:ascii="Times New Roman" w:hAnsi="Times New Roman" w:cs="Times New Roman"/>
          <w:color w:val="312E25"/>
          <w:sz w:val="20"/>
          <w:szCs w:val="20"/>
          <w:lang w:eastAsia="sv-SE"/>
        </w:rPr>
        <w:t xml:space="preserve"> </w:t>
      </w:r>
      <w:r w:rsidRPr="00F70B49">
        <w:rPr>
          <w:rFonts w:ascii="Times New Roman" w:hAnsi="Times New Roman" w:cs="Times New Roman"/>
          <w:color w:val="312E25"/>
          <w:sz w:val="20"/>
          <w:szCs w:val="20"/>
          <w:lang w:eastAsia="sv-SE"/>
        </w:rPr>
        <w:t>[last accessed 25/9/2017]</w:t>
      </w:r>
      <w:bookmarkEnd w:id="21"/>
      <w:r w:rsidR="00056B84" w:rsidRPr="002E2A5B" w:rsidDel="00056B84">
        <w:rPr>
          <w:rFonts w:ascii="Times New Roman" w:hAnsi="Times New Roman" w:cs="Times New Roman"/>
          <w:color w:val="312E25"/>
          <w:sz w:val="20"/>
          <w:szCs w:val="20"/>
          <w:lang w:eastAsia="sv-SE"/>
        </w:rPr>
        <w:t xml:space="preserve"> </w:t>
      </w:r>
    </w:p>
    <w:p w14:paraId="2A005839" w14:textId="51AA03FA" w:rsidR="00420D28" w:rsidRPr="002E2A5B" w:rsidRDefault="005D6DDB" w:rsidP="00C3081F">
      <w:pPr>
        <w:pStyle w:val="ListParagraph"/>
        <w:numPr>
          <w:ilvl w:val="0"/>
          <w:numId w:val="7"/>
        </w:numPr>
        <w:ind w:left="567" w:hanging="425"/>
        <w:rPr>
          <w:rFonts w:ascii="Times New Roman" w:hAnsi="Times New Roman" w:cs="Times New Roman"/>
          <w:sz w:val="20"/>
          <w:szCs w:val="20"/>
        </w:rPr>
      </w:pPr>
      <w:bookmarkStart w:id="23" w:name="_Ref494461192"/>
      <w:r w:rsidRPr="002E2A5B">
        <w:rPr>
          <w:rFonts w:ascii="Times New Roman" w:hAnsi="Times New Roman" w:cs="Times New Roman"/>
          <w:color w:val="312E25"/>
          <w:sz w:val="20"/>
          <w:szCs w:val="20"/>
          <w:lang w:eastAsia="sv-SE"/>
        </w:rPr>
        <w:t>R2-1803523</w:t>
      </w:r>
      <w:r w:rsidR="00164BEA" w:rsidRPr="002E2A5B">
        <w:rPr>
          <w:rFonts w:ascii="Times New Roman" w:hAnsi="Times New Roman" w:cs="Times New Roman"/>
          <w:color w:val="312E25"/>
          <w:sz w:val="20"/>
          <w:szCs w:val="20"/>
          <w:lang w:eastAsia="sv-SE"/>
        </w:rPr>
        <w:t>, “On the Support of 64QAM and TX diversity,” Ericsson</w:t>
      </w:r>
      <w:bookmarkEnd w:id="10"/>
      <w:bookmarkEnd w:id="11"/>
      <w:bookmarkEnd w:id="22"/>
      <w:bookmarkEnd w:id="23"/>
    </w:p>
    <w:sectPr w:rsidR="00420D28" w:rsidRPr="002E2A5B" w:rsidSect="005E5F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851" w:right="567"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7CAFB" w14:textId="77777777" w:rsidR="005F52D8" w:rsidRDefault="005F52D8">
      <w:r>
        <w:separator/>
      </w:r>
    </w:p>
  </w:endnote>
  <w:endnote w:type="continuationSeparator" w:id="0">
    <w:p w14:paraId="00A39660" w14:textId="77777777" w:rsidR="005F52D8" w:rsidRDefault="005F52D8">
      <w:r>
        <w:continuationSeparator/>
      </w:r>
    </w:p>
  </w:endnote>
  <w:endnote w:type="continuationNotice" w:id="1">
    <w:p w14:paraId="26D1CFFC" w14:textId="77777777" w:rsidR="005F52D8" w:rsidRDefault="005F5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D3258" w14:textId="77777777" w:rsidR="00A07604" w:rsidRDefault="00A07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46D64" w14:textId="77777777" w:rsidR="00A07604" w:rsidRDefault="00A076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792DE" w14:textId="77777777" w:rsidR="00A07604" w:rsidRDefault="00A07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3DD32" w14:textId="77777777" w:rsidR="005F52D8" w:rsidRDefault="005F52D8">
      <w:r>
        <w:separator/>
      </w:r>
    </w:p>
  </w:footnote>
  <w:footnote w:type="continuationSeparator" w:id="0">
    <w:p w14:paraId="76260758" w14:textId="77777777" w:rsidR="005F52D8" w:rsidRDefault="005F52D8">
      <w:r>
        <w:continuationSeparator/>
      </w:r>
    </w:p>
  </w:footnote>
  <w:footnote w:type="continuationNotice" w:id="1">
    <w:p w14:paraId="65EB992C" w14:textId="77777777" w:rsidR="005F52D8" w:rsidRDefault="005F5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AB363" w14:textId="77777777" w:rsidR="00A07604" w:rsidRDefault="00A076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D2CE2" w14:textId="77777777" w:rsidR="00A07604" w:rsidRDefault="00A076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45E50" w14:textId="77777777" w:rsidR="00A07604" w:rsidRDefault="00A07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8111809"/>
    <w:multiLevelType w:val="hybridMultilevel"/>
    <w:tmpl w:val="3178179C"/>
    <w:lvl w:ilvl="0" w:tplc="19D07F7C">
      <w:numFmt w:val="bullet"/>
      <w:lvlText w:val="-"/>
      <w:lvlJc w:val="left"/>
      <w:pPr>
        <w:ind w:left="1452" w:hanging="360"/>
      </w:pPr>
      <w:rPr>
        <w:rFonts w:ascii="Times" w:eastAsia="Batang" w:hAnsi="Times" w:cs="Times" w:hint="default"/>
      </w:rPr>
    </w:lvl>
    <w:lvl w:ilvl="1" w:tplc="08090003">
      <w:start w:val="1"/>
      <w:numFmt w:val="bullet"/>
      <w:lvlText w:val="o"/>
      <w:lvlJc w:val="left"/>
      <w:pPr>
        <w:ind w:left="2172" w:hanging="360"/>
      </w:pPr>
      <w:rPr>
        <w:rFonts w:ascii="Courier New" w:hAnsi="Courier New" w:cs="Courier New" w:hint="default"/>
      </w:rPr>
    </w:lvl>
    <w:lvl w:ilvl="2" w:tplc="08090005" w:tentative="1">
      <w:start w:val="1"/>
      <w:numFmt w:val="bullet"/>
      <w:lvlText w:val=""/>
      <w:lvlJc w:val="left"/>
      <w:pPr>
        <w:ind w:left="2892" w:hanging="360"/>
      </w:pPr>
      <w:rPr>
        <w:rFonts w:ascii="Wingdings" w:hAnsi="Wingdings" w:hint="default"/>
      </w:rPr>
    </w:lvl>
    <w:lvl w:ilvl="3" w:tplc="08090001" w:tentative="1">
      <w:start w:val="1"/>
      <w:numFmt w:val="bullet"/>
      <w:lvlText w:val=""/>
      <w:lvlJc w:val="left"/>
      <w:pPr>
        <w:ind w:left="3612" w:hanging="360"/>
      </w:pPr>
      <w:rPr>
        <w:rFonts w:ascii="Symbol" w:hAnsi="Symbol" w:hint="default"/>
      </w:rPr>
    </w:lvl>
    <w:lvl w:ilvl="4" w:tplc="08090003" w:tentative="1">
      <w:start w:val="1"/>
      <w:numFmt w:val="bullet"/>
      <w:lvlText w:val="o"/>
      <w:lvlJc w:val="left"/>
      <w:pPr>
        <w:ind w:left="4332" w:hanging="360"/>
      </w:pPr>
      <w:rPr>
        <w:rFonts w:ascii="Courier New" w:hAnsi="Courier New" w:cs="Courier New" w:hint="default"/>
      </w:rPr>
    </w:lvl>
    <w:lvl w:ilvl="5" w:tplc="08090005" w:tentative="1">
      <w:start w:val="1"/>
      <w:numFmt w:val="bullet"/>
      <w:lvlText w:val=""/>
      <w:lvlJc w:val="left"/>
      <w:pPr>
        <w:ind w:left="5052" w:hanging="360"/>
      </w:pPr>
      <w:rPr>
        <w:rFonts w:ascii="Wingdings" w:hAnsi="Wingdings" w:hint="default"/>
      </w:rPr>
    </w:lvl>
    <w:lvl w:ilvl="6" w:tplc="08090001" w:tentative="1">
      <w:start w:val="1"/>
      <w:numFmt w:val="bullet"/>
      <w:lvlText w:val=""/>
      <w:lvlJc w:val="left"/>
      <w:pPr>
        <w:ind w:left="5772" w:hanging="360"/>
      </w:pPr>
      <w:rPr>
        <w:rFonts w:ascii="Symbol" w:hAnsi="Symbol" w:hint="default"/>
      </w:rPr>
    </w:lvl>
    <w:lvl w:ilvl="7" w:tplc="08090003" w:tentative="1">
      <w:start w:val="1"/>
      <w:numFmt w:val="bullet"/>
      <w:lvlText w:val="o"/>
      <w:lvlJc w:val="left"/>
      <w:pPr>
        <w:ind w:left="6492" w:hanging="360"/>
      </w:pPr>
      <w:rPr>
        <w:rFonts w:ascii="Courier New" w:hAnsi="Courier New" w:cs="Courier New" w:hint="default"/>
      </w:rPr>
    </w:lvl>
    <w:lvl w:ilvl="8" w:tplc="08090005" w:tentative="1">
      <w:start w:val="1"/>
      <w:numFmt w:val="bullet"/>
      <w:lvlText w:val=""/>
      <w:lvlJc w:val="left"/>
      <w:pPr>
        <w:ind w:left="7212" w:hanging="360"/>
      </w:pPr>
      <w:rPr>
        <w:rFonts w:ascii="Wingdings" w:hAnsi="Wingdings" w:hint="default"/>
      </w:rPr>
    </w:lvl>
  </w:abstractNum>
  <w:abstractNum w:abstractNumId="2" w15:restartNumberingAfterBreak="0">
    <w:nsid w:val="0E4050BF"/>
    <w:multiLevelType w:val="hybridMultilevel"/>
    <w:tmpl w:val="21DA22D4"/>
    <w:lvl w:ilvl="0" w:tplc="E6247E56">
      <w:start w:val="1"/>
      <w:numFmt w:val="decimal"/>
      <w:lvlText w:val="%1."/>
      <w:lvlJc w:val="left"/>
      <w:pPr>
        <w:ind w:left="780" w:hanging="360"/>
      </w:pPr>
      <w:rPr>
        <w:rFonts w:hint="default"/>
      </w:r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3" w15:restartNumberingAfterBreak="0">
    <w:nsid w:val="164E6983"/>
    <w:multiLevelType w:val="hybridMultilevel"/>
    <w:tmpl w:val="078E37F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3AF6EBB"/>
    <w:multiLevelType w:val="hybridMultilevel"/>
    <w:tmpl w:val="87D8D8F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93D09BA"/>
    <w:multiLevelType w:val="hybridMultilevel"/>
    <w:tmpl w:val="D9040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4F3D92"/>
    <w:multiLevelType w:val="hybridMultilevel"/>
    <w:tmpl w:val="3C54CE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6152435"/>
    <w:multiLevelType w:val="hybridMultilevel"/>
    <w:tmpl w:val="5C34C1C4"/>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63C24F0D"/>
    <w:multiLevelType w:val="hybridMultilevel"/>
    <w:tmpl w:val="821856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7F27586"/>
    <w:multiLevelType w:val="hybridMultilevel"/>
    <w:tmpl w:val="9DCE64C6"/>
    <w:lvl w:ilvl="0" w:tplc="57D4C2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473E40"/>
    <w:multiLevelType w:val="hybridMultilevel"/>
    <w:tmpl w:val="C786FFD6"/>
    <w:lvl w:ilvl="0" w:tplc="752C87D4">
      <w:start w:val="1"/>
      <w:numFmt w:val="bullet"/>
      <w:lvlText w:val="•"/>
      <w:lvlJc w:val="left"/>
      <w:pPr>
        <w:tabs>
          <w:tab w:val="num" w:pos="360"/>
        </w:tabs>
        <w:ind w:left="360" w:hanging="360"/>
      </w:pPr>
      <w:rPr>
        <w:rFonts w:ascii="Arial" w:hAnsi="Arial" w:hint="default"/>
      </w:rPr>
    </w:lvl>
    <w:lvl w:ilvl="1" w:tplc="3530ED92">
      <w:numFmt w:val="bullet"/>
      <w:lvlText w:val="–"/>
      <w:lvlJc w:val="left"/>
      <w:pPr>
        <w:tabs>
          <w:tab w:val="num" w:pos="1080"/>
        </w:tabs>
        <w:ind w:left="1080" w:hanging="360"/>
      </w:pPr>
      <w:rPr>
        <w:rFonts w:ascii="Arial" w:hAnsi="Arial" w:hint="default"/>
      </w:rPr>
    </w:lvl>
    <w:lvl w:ilvl="2" w:tplc="BB3A501A">
      <w:start w:val="1"/>
      <w:numFmt w:val="bullet"/>
      <w:lvlText w:val="•"/>
      <w:lvlJc w:val="left"/>
      <w:pPr>
        <w:tabs>
          <w:tab w:val="num" w:pos="1800"/>
        </w:tabs>
        <w:ind w:left="1800" w:hanging="360"/>
      </w:pPr>
      <w:rPr>
        <w:rFonts w:ascii="Arial" w:hAnsi="Arial" w:hint="default"/>
      </w:rPr>
    </w:lvl>
    <w:lvl w:ilvl="3" w:tplc="59A68F38" w:tentative="1">
      <w:start w:val="1"/>
      <w:numFmt w:val="bullet"/>
      <w:lvlText w:val="•"/>
      <w:lvlJc w:val="left"/>
      <w:pPr>
        <w:tabs>
          <w:tab w:val="num" w:pos="2520"/>
        </w:tabs>
        <w:ind w:left="2520" w:hanging="360"/>
      </w:pPr>
      <w:rPr>
        <w:rFonts w:ascii="Arial" w:hAnsi="Arial" w:hint="default"/>
      </w:rPr>
    </w:lvl>
    <w:lvl w:ilvl="4" w:tplc="CD68B4FE" w:tentative="1">
      <w:start w:val="1"/>
      <w:numFmt w:val="bullet"/>
      <w:lvlText w:val="•"/>
      <w:lvlJc w:val="left"/>
      <w:pPr>
        <w:tabs>
          <w:tab w:val="num" w:pos="3240"/>
        </w:tabs>
        <w:ind w:left="3240" w:hanging="360"/>
      </w:pPr>
      <w:rPr>
        <w:rFonts w:ascii="Arial" w:hAnsi="Arial" w:hint="default"/>
      </w:rPr>
    </w:lvl>
    <w:lvl w:ilvl="5" w:tplc="09AC630E" w:tentative="1">
      <w:start w:val="1"/>
      <w:numFmt w:val="bullet"/>
      <w:lvlText w:val="•"/>
      <w:lvlJc w:val="left"/>
      <w:pPr>
        <w:tabs>
          <w:tab w:val="num" w:pos="3960"/>
        </w:tabs>
        <w:ind w:left="3960" w:hanging="360"/>
      </w:pPr>
      <w:rPr>
        <w:rFonts w:ascii="Arial" w:hAnsi="Arial" w:hint="default"/>
      </w:rPr>
    </w:lvl>
    <w:lvl w:ilvl="6" w:tplc="831AF21C" w:tentative="1">
      <w:start w:val="1"/>
      <w:numFmt w:val="bullet"/>
      <w:lvlText w:val="•"/>
      <w:lvlJc w:val="left"/>
      <w:pPr>
        <w:tabs>
          <w:tab w:val="num" w:pos="4680"/>
        </w:tabs>
        <w:ind w:left="4680" w:hanging="360"/>
      </w:pPr>
      <w:rPr>
        <w:rFonts w:ascii="Arial" w:hAnsi="Arial" w:hint="default"/>
      </w:rPr>
    </w:lvl>
    <w:lvl w:ilvl="7" w:tplc="9CE0ABFE" w:tentative="1">
      <w:start w:val="1"/>
      <w:numFmt w:val="bullet"/>
      <w:lvlText w:val="•"/>
      <w:lvlJc w:val="left"/>
      <w:pPr>
        <w:tabs>
          <w:tab w:val="num" w:pos="5400"/>
        </w:tabs>
        <w:ind w:left="5400" w:hanging="360"/>
      </w:pPr>
      <w:rPr>
        <w:rFonts w:ascii="Arial" w:hAnsi="Arial" w:hint="default"/>
      </w:rPr>
    </w:lvl>
    <w:lvl w:ilvl="8" w:tplc="AD5063F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0C20D17"/>
    <w:multiLevelType w:val="hybridMultilevel"/>
    <w:tmpl w:val="CDE45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78C071D"/>
    <w:multiLevelType w:val="hybridMultilevel"/>
    <w:tmpl w:val="1FBCC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6"/>
  </w:num>
  <w:num w:numId="2">
    <w:abstractNumId w:val="23"/>
  </w:num>
  <w:num w:numId="3">
    <w:abstractNumId w:val="21"/>
  </w:num>
  <w:num w:numId="4">
    <w:abstractNumId w:val="10"/>
  </w:num>
  <w:num w:numId="5">
    <w:abstractNumId w:val="14"/>
  </w:num>
  <w:num w:numId="6">
    <w:abstractNumId w:val="24"/>
  </w:num>
  <w:num w:numId="7">
    <w:abstractNumId w:val="9"/>
  </w:num>
  <w:num w:numId="8">
    <w:abstractNumId w:val="20"/>
  </w:num>
  <w:num w:numId="9">
    <w:abstractNumId w:val="7"/>
  </w:num>
  <w:num w:numId="10">
    <w:abstractNumId w:val="13"/>
  </w:num>
  <w:num w:numId="11">
    <w:abstractNumId w:val="2"/>
  </w:num>
  <w:num w:numId="12">
    <w:abstractNumId w:val="15"/>
  </w:num>
  <w:num w:numId="13">
    <w:abstractNumId w:val="12"/>
  </w:num>
  <w:num w:numId="14">
    <w:abstractNumId w:val="18"/>
  </w:num>
  <w:num w:numId="15">
    <w:abstractNumId w:val="11"/>
  </w:num>
  <w:num w:numId="16">
    <w:abstractNumId w:val="17"/>
  </w:num>
  <w:num w:numId="17">
    <w:abstractNumId w:val="8"/>
  </w:num>
  <w:num w:numId="18">
    <w:abstractNumId w:val="6"/>
  </w:num>
  <w:num w:numId="19">
    <w:abstractNumId w:val="22"/>
  </w:num>
  <w:num w:numId="20">
    <w:abstractNumId w:val="5"/>
  </w:num>
  <w:num w:numId="21">
    <w:abstractNumId w:val="19"/>
  </w:num>
  <w:num w:numId="22">
    <w:abstractNumId w:val="4"/>
  </w:num>
  <w:num w:numId="23">
    <w:abstractNumId w:val="3"/>
  </w:num>
  <w:num w:numId="24">
    <w:abstractNumId w:val="1"/>
  </w:num>
  <w:num w:numId="2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DD"/>
    <w:rsid w:val="0000045A"/>
    <w:rsid w:val="0000095A"/>
    <w:rsid w:val="00001096"/>
    <w:rsid w:val="000017AB"/>
    <w:rsid w:val="0000188D"/>
    <w:rsid w:val="00001B66"/>
    <w:rsid w:val="00001CE5"/>
    <w:rsid w:val="0000223E"/>
    <w:rsid w:val="0000258B"/>
    <w:rsid w:val="000025DC"/>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0DE"/>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33A"/>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DF2"/>
    <w:rsid w:val="00024E5B"/>
    <w:rsid w:val="00025884"/>
    <w:rsid w:val="00025AFA"/>
    <w:rsid w:val="00025EB1"/>
    <w:rsid w:val="00025F50"/>
    <w:rsid w:val="00026106"/>
    <w:rsid w:val="00026A7A"/>
    <w:rsid w:val="0002710F"/>
    <w:rsid w:val="0002720F"/>
    <w:rsid w:val="000277B9"/>
    <w:rsid w:val="00027F6E"/>
    <w:rsid w:val="0003039E"/>
    <w:rsid w:val="000304A6"/>
    <w:rsid w:val="00030779"/>
    <w:rsid w:val="000309F5"/>
    <w:rsid w:val="00030B04"/>
    <w:rsid w:val="00030F8E"/>
    <w:rsid w:val="0003189D"/>
    <w:rsid w:val="00031B04"/>
    <w:rsid w:val="00031BCF"/>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8EE"/>
    <w:rsid w:val="00037957"/>
    <w:rsid w:val="00037FE1"/>
    <w:rsid w:val="000401C2"/>
    <w:rsid w:val="0004027D"/>
    <w:rsid w:val="000402D2"/>
    <w:rsid w:val="000404CA"/>
    <w:rsid w:val="000407EF"/>
    <w:rsid w:val="00040BD3"/>
    <w:rsid w:val="00040C0E"/>
    <w:rsid w:val="00040F6C"/>
    <w:rsid w:val="0004138C"/>
    <w:rsid w:val="00041533"/>
    <w:rsid w:val="00041540"/>
    <w:rsid w:val="0004168A"/>
    <w:rsid w:val="0004173B"/>
    <w:rsid w:val="00041996"/>
    <w:rsid w:val="00041B67"/>
    <w:rsid w:val="00041BDE"/>
    <w:rsid w:val="00041D31"/>
    <w:rsid w:val="000420B4"/>
    <w:rsid w:val="000425BC"/>
    <w:rsid w:val="0004298D"/>
    <w:rsid w:val="00042BB8"/>
    <w:rsid w:val="00043117"/>
    <w:rsid w:val="0004332F"/>
    <w:rsid w:val="000436DB"/>
    <w:rsid w:val="000438BB"/>
    <w:rsid w:val="00043E1C"/>
    <w:rsid w:val="00043F81"/>
    <w:rsid w:val="000447AE"/>
    <w:rsid w:val="00044DEB"/>
    <w:rsid w:val="000451DD"/>
    <w:rsid w:val="00045A2D"/>
    <w:rsid w:val="00045CCB"/>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47B"/>
    <w:rsid w:val="00052AE8"/>
    <w:rsid w:val="00052B1B"/>
    <w:rsid w:val="00053A2B"/>
    <w:rsid w:val="000543DA"/>
    <w:rsid w:val="000544E2"/>
    <w:rsid w:val="00054511"/>
    <w:rsid w:val="00054580"/>
    <w:rsid w:val="000548CD"/>
    <w:rsid w:val="0005497B"/>
    <w:rsid w:val="00054A5F"/>
    <w:rsid w:val="00054BAA"/>
    <w:rsid w:val="00054D3E"/>
    <w:rsid w:val="00054FE0"/>
    <w:rsid w:val="0005590A"/>
    <w:rsid w:val="00055C90"/>
    <w:rsid w:val="00056365"/>
    <w:rsid w:val="0005697B"/>
    <w:rsid w:val="00056B84"/>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4A4"/>
    <w:rsid w:val="00071DAF"/>
    <w:rsid w:val="00071DD8"/>
    <w:rsid w:val="00071F64"/>
    <w:rsid w:val="0007296B"/>
    <w:rsid w:val="00072A3A"/>
    <w:rsid w:val="00072B13"/>
    <w:rsid w:val="00072B81"/>
    <w:rsid w:val="00072C26"/>
    <w:rsid w:val="00072FD3"/>
    <w:rsid w:val="00073226"/>
    <w:rsid w:val="0007346C"/>
    <w:rsid w:val="00073504"/>
    <w:rsid w:val="00073630"/>
    <w:rsid w:val="000738BB"/>
    <w:rsid w:val="00073B8B"/>
    <w:rsid w:val="00074475"/>
    <w:rsid w:val="000745B0"/>
    <w:rsid w:val="000748B1"/>
    <w:rsid w:val="00074C22"/>
    <w:rsid w:val="0007590E"/>
    <w:rsid w:val="00075A8C"/>
    <w:rsid w:val="00075E5D"/>
    <w:rsid w:val="0007645D"/>
    <w:rsid w:val="0007674A"/>
    <w:rsid w:val="0007680F"/>
    <w:rsid w:val="000769CA"/>
    <w:rsid w:val="000770AE"/>
    <w:rsid w:val="000772A9"/>
    <w:rsid w:val="00077304"/>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3755"/>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D0C"/>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176"/>
    <w:rsid w:val="000A44CD"/>
    <w:rsid w:val="000A47FC"/>
    <w:rsid w:val="000A4FB2"/>
    <w:rsid w:val="000A5435"/>
    <w:rsid w:val="000A5821"/>
    <w:rsid w:val="000A5885"/>
    <w:rsid w:val="000A5918"/>
    <w:rsid w:val="000A6D7D"/>
    <w:rsid w:val="000A7522"/>
    <w:rsid w:val="000A7B48"/>
    <w:rsid w:val="000A7C96"/>
    <w:rsid w:val="000A7E46"/>
    <w:rsid w:val="000A7F51"/>
    <w:rsid w:val="000B0049"/>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77"/>
    <w:rsid w:val="000C218C"/>
    <w:rsid w:val="000C338A"/>
    <w:rsid w:val="000C3C80"/>
    <w:rsid w:val="000C3F38"/>
    <w:rsid w:val="000C3FC8"/>
    <w:rsid w:val="000C41EC"/>
    <w:rsid w:val="000C4A5E"/>
    <w:rsid w:val="000C4A5F"/>
    <w:rsid w:val="000C4ED2"/>
    <w:rsid w:val="000C63F4"/>
    <w:rsid w:val="000C650B"/>
    <w:rsid w:val="000C6598"/>
    <w:rsid w:val="000C6EEC"/>
    <w:rsid w:val="000C7192"/>
    <w:rsid w:val="000C722B"/>
    <w:rsid w:val="000C7CB0"/>
    <w:rsid w:val="000C7CCD"/>
    <w:rsid w:val="000D003E"/>
    <w:rsid w:val="000D02BB"/>
    <w:rsid w:val="000D0711"/>
    <w:rsid w:val="000D0DAE"/>
    <w:rsid w:val="000D1186"/>
    <w:rsid w:val="000D1247"/>
    <w:rsid w:val="000D1988"/>
    <w:rsid w:val="000D198A"/>
    <w:rsid w:val="000D28F6"/>
    <w:rsid w:val="000D297C"/>
    <w:rsid w:val="000D2B76"/>
    <w:rsid w:val="000D2BFF"/>
    <w:rsid w:val="000D3124"/>
    <w:rsid w:val="000D357B"/>
    <w:rsid w:val="000D35DC"/>
    <w:rsid w:val="000D3D5C"/>
    <w:rsid w:val="000D3DC5"/>
    <w:rsid w:val="000D3EA0"/>
    <w:rsid w:val="000D405F"/>
    <w:rsid w:val="000D41BA"/>
    <w:rsid w:val="000D4DFA"/>
    <w:rsid w:val="000D588C"/>
    <w:rsid w:val="000D58E8"/>
    <w:rsid w:val="000D63E8"/>
    <w:rsid w:val="000D6568"/>
    <w:rsid w:val="000D6658"/>
    <w:rsid w:val="000D6934"/>
    <w:rsid w:val="000D6D19"/>
    <w:rsid w:val="000D6D8D"/>
    <w:rsid w:val="000D76D0"/>
    <w:rsid w:val="000D7F28"/>
    <w:rsid w:val="000E048A"/>
    <w:rsid w:val="000E060F"/>
    <w:rsid w:val="000E0945"/>
    <w:rsid w:val="000E0A1E"/>
    <w:rsid w:val="000E1522"/>
    <w:rsid w:val="000E254D"/>
    <w:rsid w:val="000E30E0"/>
    <w:rsid w:val="000E31D9"/>
    <w:rsid w:val="000E38E6"/>
    <w:rsid w:val="000E3EAC"/>
    <w:rsid w:val="000E4235"/>
    <w:rsid w:val="000E446E"/>
    <w:rsid w:val="000E4883"/>
    <w:rsid w:val="000E4F12"/>
    <w:rsid w:val="000E50FA"/>
    <w:rsid w:val="000E5142"/>
    <w:rsid w:val="000E514C"/>
    <w:rsid w:val="000E56DF"/>
    <w:rsid w:val="000E5DAC"/>
    <w:rsid w:val="000E649F"/>
    <w:rsid w:val="000E65B5"/>
    <w:rsid w:val="000E682B"/>
    <w:rsid w:val="000E7158"/>
    <w:rsid w:val="000E72F9"/>
    <w:rsid w:val="000F1162"/>
    <w:rsid w:val="000F1472"/>
    <w:rsid w:val="000F18EC"/>
    <w:rsid w:val="000F1F00"/>
    <w:rsid w:val="000F2263"/>
    <w:rsid w:val="000F2FB7"/>
    <w:rsid w:val="000F3B2A"/>
    <w:rsid w:val="000F3E58"/>
    <w:rsid w:val="000F4057"/>
    <w:rsid w:val="000F4F15"/>
    <w:rsid w:val="000F560F"/>
    <w:rsid w:val="000F579B"/>
    <w:rsid w:val="000F5F76"/>
    <w:rsid w:val="000F6258"/>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673"/>
    <w:rsid w:val="0010583A"/>
    <w:rsid w:val="00105C25"/>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183"/>
    <w:rsid w:val="00113497"/>
    <w:rsid w:val="00113752"/>
    <w:rsid w:val="0011384E"/>
    <w:rsid w:val="001139BD"/>
    <w:rsid w:val="00113D2A"/>
    <w:rsid w:val="00114700"/>
    <w:rsid w:val="00114E1E"/>
    <w:rsid w:val="00114F7F"/>
    <w:rsid w:val="001151B7"/>
    <w:rsid w:val="001153ED"/>
    <w:rsid w:val="0011547A"/>
    <w:rsid w:val="00115567"/>
    <w:rsid w:val="00115B0A"/>
    <w:rsid w:val="00116035"/>
    <w:rsid w:val="00116FF5"/>
    <w:rsid w:val="0011712D"/>
    <w:rsid w:val="0011789A"/>
    <w:rsid w:val="00117A64"/>
    <w:rsid w:val="00117AB8"/>
    <w:rsid w:val="00117EFE"/>
    <w:rsid w:val="001203B4"/>
    <w:rsid w:val="001203C0"/>
    <w:rsid w:val="00120BB4"/>
    <w:rsid w:val="00120DB7"/>
    <w:rsid w:val="001218EF"/>
    <w:rsid w:val="00121A77"/>
    <w:rsid w:val="00121CA5"/>
    <w:rsid w:val="00122798"/>
    <w:rsid w:val="00122D62"/>
    <w:rsid w:val="00122D8E"/>
    <w:rsid w:val="00123520"/>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760"/>
    <w:rsid w:val="00130884"/>
    <w:rsid w:val="00130C71"/>
    <w:rsid w:val="001310D3"/>
    <w:rsid w:val="00131162"/>
    <w:rsid w:val="00131312"/>
    <w:rsid w:val="00131588"/>
    <w:rsid w:val="00131689"/>
    <w:rsid w:val="00131877"/>
    <w:rsid w:val="00131978"/>
    <w:rsid w:val="001320C2"/>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5CF9"/>
    <w:rsid w:val="0015623A"/>
    <w:rsid w:val="00156973"/>
    <w:rsid w:val="0015709F"/>
    <w:rsid w:val="001572C2"/>
    <w:rsid w:val="001573EE"/>
    <w:rsid w:val="00157C7F"/>
    <w:rsid w:val="00157FA1"/>
    <w:rsid w:val="00160577"/>
    <w:rsid w:val="001605B6"/>
    <w:rsid w:val="00160638"/>
    <w:rsid w:val="00160B11"/>
    <w:rsid w:val="00160D12"/>
    <w:rsid w:val="00161D9B"/>
    <w:rsid w:val="00161EE8"/>
    <w:rsid w:val="00161F67"/>
    <w:rsid w:val="00162BA6"/>
    <w:rsid w:val="00162E11"/>
    <w:rsid w:val="0016390A"/>
    <w:rsid w:val="0016399F"/>
    <w:rsid w:val="00163BD1"/>
    <w:rsid w:val="001646AC"/>
    <w:rsid w:val="001648F4"/>
    <w:rsid w:val="00164BEA"/>
    <w:rsid w:val="00164C20"/>
    <w:rsid w:val="00164DDB"/>
    <w:rsid w:val="00164FE3"/>
    <w:rsid w:val="0016528A"/>
    <w:rsid w:val="001654AE"/>
    <w:rsid w:val="00165B88"/>
    <w:rsid w:val="0016641D"/>
    <w:rsid w:val="00166570"/>
    <w:rsid w:val="001665A4"/>
    <w:rsid w:val="00166A54"/>
    <w:rsid w:val="00166B6D"/>
    <w:rsid w:val="00167418"/>
    <w:rsid w:val="00167926"/>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5EA"/>
    <w:rsid w:val="001756F5"/>
    <w:rsid w:val="0017575D"/>
    <w:rsid w:val="00175836"/>
    <w:rsid w:val="00175A17"/>
    <w:rsid w:val="00175B93"/>
    <w:rsid w:val="001760D7"/>
    <w:rsid w:val="00176275"/>
    <w:rsid w:val="0017647C"/>
    <w:rsid w:val="0017652D"/>
    <w:rsid w:val="001776B3"/>
    <w:rsid w:val="0017790F"/>
    <w:rsid w:val="00177E47"/>
    <w:rsid w:val="00177EEA"/>
    <w:rsid w:val="0018032A"/>
    <w:rsid w:val="001808D9"/>
    <w:rsid w:val="0018104A"/>
    <w:rsid w:val="001810FF"/>
    <w:rsid w:val="001811CE"/>
    <w:rsid w:val="001815A1"/>
    <w:rsid w:val="00181669"/>
    <w:rsid w:val="001817B0"/>
    <w:rsid w:val="00182093"/>
    <w:rsid w:val="00183579"/>
    <w:rsid w:val="001839D0"/>
    <w:rsid w:val="00183A8D"/>
    <w:rsid w:val="00184512"/>
    <w:rsid w:val="00184713"/>
    <w:rsid w:val="00184BEE"/>
    <w:rsid w:val="00184CD0"/>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6C"/>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29"/>
    <w:rsid w:val="001B1760"/>
    <w:rsid w:val="001B1932"/>
    <w:rsid w:val="001B1A7C"/>
    <w:rsid w:val="001B1AB7"/>
    <w:rsid w:val="001B1DEF"/>
    <w:rsid w:val="001B1FFA"/>
    <w:rsid w:val="001B22C5"/>
    <w:rsid w:val="001B27AA"/>
    <w:rsid w:val="001B2D47"/>
    <w:rsid w:val="001B2ECC"/>
    <w:rsid w:val="001B345B"/>
    <w:rsid w:val="001B34F8"/>
    <w:rsid w:val="001B3745"/>
    <w:rsid w:val="001B3E5A"/>
    <w:rsid w:val="001B3F05"/>
    <w:rsid w:val="001B45E2"/>
    <w:rsid w:val="001B4822"/>
    <w:rsid w:val="001B4ED5"/>
    <w:rsid w:val="001B4FB6"/>
    <w:rsid w:val="001B53F8"/>
    <w:rsid w:val="001B5591"/>
    <w:rsid w:val="001B6316"/>
    <w:rsid w:val="001B6851"/>
    <w:rsid w:val="001B6BA3"/>
    <w:rsid w:val="001B7361"/>
    <w:rsid w:val="001B79FE"/>
    <w:rsid w:val="001C00BE"/>
    <w:rsid w:val="001C0701"/>
    <w:rsid w:val="001C0C09"/>
    <w:rsid w:val="001C0C8E"/>
    <w:rsid w:val="001C0D3B"/>
    <w:rsid w:val="001C0FB2"/>
    <w:rsid w:val="001C1540"/>
    <w:rsid w:val="001C17BF"/>
    <w:rsid w:val="001C180C"/>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0A9"/>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135"/>
    <w:rsid w:val="001D53EC"/>
    <w:rsid w:val="001D55E0"/>
    <w:rsid w:val="001D58CB"/>
    <w:rsid w:val="001D5952"/>
    <w:rsid w:val="001D6168"/>
    <w:rsid w:val="001D64DB"/>
    <w:rsid w:val="001D6812"/>
    <w:rsid w:val="001D7AB2"/>
    <w:rsid w:val="001E0619"/>
    <w:rsid w:val="001E067B"/>
    <w:rsid w:val="001E07EB"/>
    <w:rsid w:val="001E07F4"/>
    <w:rsid w:val="001E0833"/>
    <w:rsid w:val="001E0973"/>
    <w:rsid w:val="001E0A8C"/>
    <w:rsid w:val="001E1482"/>
    <w:rsid w:val="001E15BC"/>
    <w:rsid w:val="001E1880"/>
    <w:rsid w:val="001E19B6"/>
    <w:rsid w:val="001E1E1A"/>
    <w:rsid w:val="001E2151"/>
    <w:rsid w:val="001E25A7"/>
    <w:rsid w:val="001E3105"/>
    <w:rsid w:val="001E396A"/>
    <w:rsid w:val="001E3C3F"/>
    <w:rsid w:val="001E3CFC"/>
    <w:rsid w:val="001E3FE4"/>
    <w:rsid w:val="001E41F3"/>
    <w:rsid w:val="001E4CB9"/>
    <w:rsid w:val="001E4CEC"/>
    <w:rsid w:val="001E5017"/>
    <w:rsid w:val="001E5142"/>
    <w:rsid w:val="001E55BC"/>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A69"/>
    <w:rsid w:val="001F4C4A"/>
    <w:rsid w:val="001F4D54"/>
    <w:rsid w:val="001F50AE"/>
    <w:rsid w:val="001F53CB"/>
    <w:rsid w:val="001F5962"/>
    <w:rsid w:val="001F5B85"/>
    <w:rsid w:val="001F5D9C"/>
    <w:rsid w:val="001F6075"/>
    <w:rsid w:val="001F6EB0"/>
    <w:rsid w:val="001F71A2"/>
    <w:rsid w:val="001F797C"/>
    <w:rsid w:val="001F7C6D"/>
    <w:rsid w:val="001F7DE4"/>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4FF0"/>
    <w:rsid w:val="0021506C"/>
    <w:rsid w:val="002153DD"/>
    <w:rsid w:val="00215919"/>
    <w:rsid w:val="00215BD3"/>
    <w:rsid w:val="002160C5"/>
    <w:rsid w:val="0021648D"/>
    <w:rsid w:val="00216738"/>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B27"/>
    <w:rsid w:val="00223DC9"/>
    <w:rsid w:val="0022490A"/>
    <w:rsid w:val="00224A52"/>
    <w:rsid w:val="00225010"/>
    <w:rsid w:val="00225037"/>
    <w:rsid w:val="00225128"/>
    <w:rsid w:val="0022547F"/>
    <w:rsid w:val="002254ED"/>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C8C"/>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AB5"/>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A6B"/>
    <w:rsid w:val="00243F53"/>
    <w:rsid w:val="00244414"/>
    <w:rsid w:val="00244531"/>
    <w:rsid w:val="00244A05"/>
    <w:rsid w:val="00244C23"/>
    <w:rsid w:val="00244F34"/>
    <w:rsid w:val="00245391"/>
    <w:rsid w:val="002454E1"/>
    <w:rsid w:val="002458FB"/>
    <w:rsid w:val="00245FF6"/>
    <w:rsid w:val="00246597"/>
    <w:rsid w:val="00246C16"/>
    <w:rsid w:val="0024784E"/>
    <w:rsid w:val="002501D9"/>
    <w:rsid w:val="00250580"/>
    <w:rsid w:val="002505A7"/>
    <w:rsid w:val="002509C7"/>
    <w:rsid w:val="002512C1"/>
    <w:rsid w:val="00251772"/>
    <w:rsid w:val="002518D7"/>
    <w:rsid w:val="00252076"/>
    <w:rsid w:val="00252095"/>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8D3"/>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999"/>
    <w:rsid w:val="00267FF7"/>
    <w:rsid w:val="00270155"/>
    <w:rsid w:val="0027034F"/>
    <w:rsid w:val="0027046E"/>
    <w:rsid w:val="002706A7"/>
    <w:rsid w:val="0027075B"/>
    <w:rsid w:val="00270982"/>
    <w:rsid w:val="00270C6D"/>
    <w:rsid w:val="00270E30"/>
    <w:rsid w:val="0027134C"/>
    <w:rsid w:val="00271927"/>
    <w:rsid w:val="00271C92"/>
    <w:rsid w:val="00272126"/>
    <w:rsid w:val="0027229C"/>
    <w:rsid w:val="00272B02"/>
    <w:rsid w:val="00272E9A"/>
    <w:rsid w:val="002733EB"/>
    <w:rsid w:val="002737E5"/>
    <w:rsid w:val="00273A18"/>
    <w:rsid w:val="00273A94"/>
    <w:rsid w:val="00273A99"/>
    <w:rsid w:val="00273C90"/>
    <w:rsid w:val="00274B40"/>
    <w:rsid w:val="002757C9"/>
    <w:rsid w:val="00275A0D"/>
    <w:rsid w:val="00275D12"/>
    <w:rsid w:val="002762F3"/>
    <w:rsid w:val="002768A4"/>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792"/>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48C"/>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A4E"/>
    <w:rsid w:val="002A2D8A"/>
    <w:rsid w:val="002A2E86"/>
    <w:rsid w:val="002A2ED4"/>
    <w:rsid w:val="002A3279"/>
    <w:rsid w:val="002A37D0"/>
    <w:rsid w:val="002A38E2"/>
    <w:rsid w:val="002A394B"/>
    <w:rsid w:val="002A3D45"/>
    <w:rsid w:val="002A3F1F"/>
    <w:rsid w:val="002A4B7D"/>
    <w:rsid w:val="002A4C12"/>
    <w:rsid w:val="002A4C13"/>
    <w:rsid w:val="002A4C7D"/>
    <w:rsid w:val="002A4F2A"/>
    <w:rsid w:val="002A5CF1"/>
    <w:rsid w:val="002A6290"/>
    <w:rsid w:val="002A6439"/>
    <w:rsid w:val="002A65C4"/>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6F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B2"/>
    <w:rsid w:val="002C69E6"/>
    <w:rsid w:val="002C6AFB"/>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9D7"/>
    <w:rsid w:val="002D4ABF"/>
    <w:rsid w:val="002D5386"/>
    <w:rsid w:val="002D54B7"/>
    <w:rsid w:val="002D5632"/>
    <w:rsid w:val="002D5BA2"/>
    <w:rsid w:val="002D5CCC"/>
    <w:rsid w:val="002D5F75"/>
    <w:rsid w:val="002D5FD8"/>
    <w:rsid w:val="002D63E0"/>
    <w:rsid w:val="002D69AE"/>
    <w:rsid w:val="002D751B"/>
    <w:rsid w:val="002D7713"/>
    <w:rsid w:val="002D7FD1"/>
    <w:rsid w:val="002E0559"/>
    <w:rsid w:val="002E06F5"/>
    <w:rsid w:val="002E06FE"/>
    <w:rsid w:val="002E077A"/>
    <w:rsid w:val="002E10F4"/>
    <w:rsid w:val="002E1239"/>
    <w:rsid w:val="002E154B"/>
    <w:rsid w:val="002E15B2"/>
    <w:rsid w:val="002E1647"/>
    <w:rsid w:val="002E1F7C"/>
    <w:rsid w:val="002E26C4"/>
    <w:rsid w:val="002E26C6"/>
    <w:rsid w:val="002E2A5B"/>
    <w:rsid w:val="002E2BD6"/>
    <w:rsid w:val="002E30C3"/>
    <w:rsid w:val="002E31DF"/>
    <w:rsid w:val="002E32B2"/>
    <w:rsid w:val="002E3870"/>
    <w:rsid w:val="002E3BA5"/>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1EDE"/>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660"/>
    <w:rsid w:val="003019B0"/>
    <w:rsid w:val="00302054"/>
    <w:rsid w:val="00302652"/>
    <w:rsid w:val="00302656"/>
    <w:rsid w:val="00302919"/>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6C"/>
    <w:rsid w:val="003072F8"/>
    <w:rsid w:val="00307F33"/>
    <w:rsid w:val="003101C8"/>
    <w:rsid w:val="0031057A"/>
    <w:rsid w:val="00310BEA"/>
    <w:rsid w:val="00310E07"/>
    <w:rsid w:val="0031113A"/>
    <w:rsid w:val="00311B9B"/>
    <w:rsid w:val="00311F49"/>
    <w:rsid w:val="00311FB2"/>
    <w:rsid w:val="00312175"/>
    <w:rsid w:val="0031247A"/>
    <w:rsid w:val="00312F7A"/>
    <w:rsid w:val="00312FC2"/>
    <w:rsid w:val="00313025"/>
    <w:rsid w:val="0031351B"/>
    <w:rsid w:val="0031357A"/>
    <w:rsid w:val="00313778"/>
    <w:rsid w:val="00313D07"/>
    <w:rsid w:val="00313D17"/>
    <w:rsid w:val="00313F4D"/>
    <w:rsid w:val="00314048"/>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D3"/>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C81"/>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4CC"/>
    <w:rsid w:val="0033175A"/>
    <w:rsid w:val="0033186E"/>
    <w:rsid w:val="00331945"/>
    <w:rsid w:val="00331C3E"/>
    <w:rsid w:val="003321F5"/>
    <w:rsid w:val="00332753"/>
    <w:rsid w:val="003329AB"/>
    <w:rsid w:val="00332CC3"/>
    <w:rsid w:val="00332D9C"/>
    <w:rsid w:val="00332F8E"/>
    <w:rsid w:val="0033304D"/>
    <w:rsid w:val="00333302"/>
    <w:rsid w:val="00333556"/>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055"/>
    <w:rsid w:val="0034159C"/>
    <w:rsid w:val="003418ED"/>
    <w:rsid w:val="00341EAA"/>
    <w:rsid w:val="0034218B"/>
    <w:rsid w:val="003423BA"/>
    <w:rsid w:val="0034249C"/>
    <w:rsid w:val="0034269B"/>
    <w:rsid w:val="00342BBA"/>
    <w:rsid w:val="00342DA1"/>
    <w:rsid w:val="00342F5B"/>
    <w:rsid w:val="00342FE7"/>
    <w:rsid w:val="00343C5E"/>
    <w:rsid w:val="00344383"/>
    <w:rsid w:val="003443AA"/>
    <w:rsid w:val="003448B5"/>
    <w:rsid w:val="0034576D"/>
    <w:rsid w:val="0034620C"/>
    <w:rsid w:val="00346218"/>
    <w:rsid w:val="00346A51"/>
    <w:rsid w:val="00346DE9"/>
    <w:rsid w:val="0034705A"/>
    <w:rsid w:val="003473BE"/>
    <w:rsid w:val="00347456"/>
    <w:rsid w:val="003476A1"/>
    <w:rsid w:val="0035060D"/>
    <w:rsid w:val="00350718"/>
    <w:rsid w:val="00350901"/>
    <w:rsid w:val="00350969"/>
    <w:rsid w:val="00350B22"/>
    <w:rsid w:val="00350EBC"/>
    <w:rsid w:val="003515AC"/>
    <w:rsid w:val="00351B25"/>
    <w:rsid w:val="00351E64"/>
    <w:rsid w:val="003520AA"/>
    <w:rsid w:val="003521EF"/>
    <w:rsid w:val="003525E2"/>
    <w:rsid w:val="00352ACD"/>
    <w:rsid w:val="0035333D"/>
    <w:rsid w:val="00353360"/>
    <w:rsid w:val="00353603"/>
    <w:rsid w:val="0035372A"/>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78B"/>
    <w:rsid w:val="00360E35"/>
    <w:rsid w:val="00360F5E"/>
    <w:rsid w:val="003615D9"/>
    <w:rsid w:val="003616B7"/>
    <w:rsid w:val="00361A50"/>
    <w:rsid w:val="00361D26"/>
    <w:rsid w:val="003621A7"/>
    <w:rsid w:val="0036233C"/>
    <w:rsid w:val="00362B27"/>
    <w:rsid w:val="00362B8F"/>
    <w:rsid w:val="00363AE3"/>
    <w:rsid w:val="0036431D"/>
    <w:rsid w:val="003643EF"/>
    <w:rsid w:val="00364561"/>
    <w:rsid w:val="0036475F"/>
    <w:rsid w:val="00364884"/>
    <w:rsid w:val="00364C80"/>
    <w:rsid w:val="0036523B"/>
    <w:rsid w:val="003652D6"/>
    <w:rsid w:val="00365564"/>
    <w:rsid w:val="00365644"/>
    <w:rsid w:val="00365D1E"/>
    <w:rsid w:val="00365DE4"/>
    <w:rsid w:val="0036649B"/>
    <w:rsid w:val="0036663A"/>
    <w:rsid w:val="00366B0C"/>
    <w:rsid w:val="00366E72"/>
    <w:rsid w:val="00366EBA"/>
    <w:rsid w:val="00366FC5"/>
    <w:rsid w:val="00367278"/>
    <w:rsid w:val="003673C1"/>
    <w:rsid w:val="00367452"/>
    <w:rsid w:val="003675AD"/>
    <w:rsid w:val="003676AF"/>
    <w:rsid w:val="00367966"/>
    <w:rsid w:val="00367AD8"/>
    <w:rsid w:val="00367E44"/>
    <w:rsid w:val="00367F30"/>
    <w:rsid w:val="0037044E"/>
    <w:rsid w:val="00370469"/>
    <w:rsid w:val="00370842"/>
    <w:rsid w:val="003708E2"/>
    <w:rsid w:val="00370B4F"/>
    <w:rsid w:val="00371277"/>
    <w:rsid w:val="003713EA"/>
    <w:rsid w:val="00371626"/>
    <w:rsid w:val="00371733"/>
    <w:rsid w:val="00371866"/>
    <w:rsid w:val="00371954"/>
    <w:rsid w:val="003719EB"/>
    <w:rsid w:val="00371AD0"/>
    <w:rsid w:val="00372ECC"/>
    <w:rsid w:val="00373181"/>
    <w:rsid w:val="00373B79"/>
    <w:rsid w:val="00373DE6"/>
    <w:rsid w:val="00373E4A"/>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1F99"/>
    <w:rsid w:val="003820B1"/>
    <w:rsid w:val="00382B4F"/>
    <w:rsid w:val="00382FBA"/>
    <w:rsid w:val="00383742"/>
    <w:rsid w:val="0038404A"/>
    <w:rsid w:val="0038409C"/>
    <w:rsid w:val="0038420A"/>
    <w:rsid w:val="0038443A"/>
    <w:rsid w:val="003847C1"/>
    <w:rsid w:val="003862BE"/>
    <w:rsid w:val="0038647B"/>
    <w:rsid w:val="00386561"/>
    <w:rsid w:val="00386DF8"/>
    <w:rsid w:val="003872EB"/>
    <w:rsid w:val="00387986"/>
    <w:rsid w:val="00387C98"/>
    <w:rsid w:val="003906D3"/>
    <w:rsid w:val="00390FB3"/>
    <w:rsid w:val="00391048"/>
    <w:rsid w:val="00391089"/>
    <w:rsid w:val="003917E7"/>
    <w:rsid w:val="00391F1F"/>
    <w:rsid w:val="0039224D"/>
    <w:rsid w:val="0039244A"/>
    <w:rsid w:val="003924EB"/>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532"/>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8C3"/>
    <w:rsid w:val="003A6AF1"/>
    <w:rsid w:val="003A6AF3"/>
    <w:rsid w:val="003A7162"/>
    <w:rsid w:val="003A71A9"/>
    <w:rsid w:val="003A72E8"/>
    <w:rsid w:val="003A75F6"/>
    <w:rsid w:val="003A7648"/>
    <w:rsid w:val="003A7674"/>
    <w:rsid w:val="003A76D0"/>
    <w:rsid w:val="003A7956"/>
    <w:rsid w:val="003A7C03"/>
    <w:rsid w:val="003A7EC6"/>
    <w:rsid w:val="003A7F30"/>
    <w:rsid w:val="003B0C31"/>
    <w:rsid w:val="003B0E78"/>
    <w:rsid w:val="003B0EAB"/>
    <w:rsid w:val="003B1249"/>
    <w:rsid w:val="003B12B2"/>
    <w:rsid w:val="003B18C3"/>
    <w:rsid w:val="003B1AB3"/>
    <w:rsid w:val="003B1ED2"/>
    <w:rsid w:val="003B251C"/>
    <w:rsid w:val="003B26F1"/>
    <w:rsid w:val="003B2FDE"/>
    <w:rsid w:val="003B3077"/>
    <w:rsid w:val="003B34D7"/>
    <w:rsid w:val="003B3C8D"/>
    <w:rsid w:val="003B42A8"/>
    <w:rsid w:val="003B42C5"/>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73D"/>
    <w:rsid w:val="003C2C86"/>
    <w:rsid w:val="003C2FF2"/>
    <w:rsid w:val="003C31AE"/>
    <w:rsid w:val="003C329E"/>
    <w:rsid w:val="003C3504"/>
    <w:rsid w:val="003C37EF"/>
    <w:rsid w:val="003C3874"/>
    <w:rsid w:val="003C3913"/>
    <w:rsid w:val="003C3F00"/>
    <w:rsid w:val="003C425D"/>
    <w:rsid w:val="003C428F"/>
    <w:rsid w:val="003C49D3"/>
    <w:rsid w:val="003C4A70"/>
    <w:rsid w:val="003C550B"/>
    <w:rsid w:val="003C5C3C"/>
    <w:rsid w:val="003C60A9"/>
    <w:rsid w:val="003C62C3"/>
    <w:rsid w:val="003C661A"/>
    <w:rsid w:val="003C676C"/>
    <w:rsid w:val="003C6C39"/>
    <w:rsid w:val="003C707D"/>
    <w:rsid w:val="003C70A7"/>
    <w:rsid w:val="003C7191"/>
    <w:rsid w:val="003D0363"/>
    <w:rsid w:val="003D103A"/>
    <w:rsid w:val="003D117E"/>
    <w:rsid w:val="003D1E8B"/>
    <w:rsid w:val="003D1E8C"/>
    <w:rsid w:val="003D2072"/>
    <w:rsid w:val="003D2255"/>
    <w:rsid w:val="003D23F9"/>
    <w:rsid w:val="003D266E"/>
    <w:rsid w:val="003D3048"/>
    <w:rsid w:val="003D33B2"/>
    <w:rsid w:val="003D38DD"/>
    <w:rsid w:val="003D3947"/>
    <w:rsid w:val="003D3BE2"/>
    <w:rsid w:val="003D3CBF"/>
    <w:rsid w:val="003D3FA4"/>
    <w:rsid w:val="003D43E9"/>
    <w:rsid w:val="003D4821"/>
    <w:rsid w:val="003D4BC9"/>
    <w:rsid w:val="003D5213"/>
    <w:rsid w:val="003D536E"/>
    <w:rsid w:val="003D5500"/>
    <w:rsid w:val="003D5BAA"/>
    <w:rsid w:val="003D5D41"/>
    <w:rsid w:val="003D67B0"/>
    <w:rsid w:val="003D6E4E"/>
    <w:rsid w:val="003D70E2"/>
    <w:rsid w:val="003D790C"/>
    <w:rsid w:val="003D7954"/>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501"/>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89D"/>
    <w:rsid w:val="003F2A21"/>
    <w:rsid w:val="003F3986"/>
    <w:rsid w:val="003F3AB5"/>
    <w:rsid w:val="003F3C8D"/>
    <w:rsid w:val="003F413C"/>
    <w:rsid w:val="003F4379"/>
    <w:rsid w:val="003F47CC"/>
    <w:rsid w:val="003F4901"/>
    <w:rsid w:val="003F4925"/>
    <w:rsid w:val="003F4930"/>
    <w:rsid w:val="003F4EBF"/>
    <w:rsid w:val="003F5C5B"/>
    <w:rsid w:val="003F600C"/>
    <w:rsid w:val="003F62E0"/>
    <w:rsid w:val="003F6506"/>
    <w:rsid w:val="003F6876"/>
    <w:rsid w:val="003F68DD"/>
    <w:rsid w:val="003F6983"/>
    <w:rsid w:val="003F6999"/>
    <w:rsid w:val="003F6B1A"/>
    <w:rsid w:val="003F6EAC"/>
    <w:rsid w:val="003F6F95"/>
    <w:rsid w:val="003F75CC"/>
    <w:rsid w:val="00400381"/>
    <w:rsid w:val="00400628"/>
    <w:rsid w:val="00400901"/>
    <w:rsid w:val="00401200"/>
    <w:rsid w:val="004012EA"/>
    <w:rsid w:val="0040178E"/>
    <w:rsid w:val="00401B79"/>
    <w:rsid w:val="00401C61"/>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5AC"/>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2B68"/>
    <w:rsid w:val="0041339C"/>
    <w:rsid w:val="00413ACE"/>
    <w:rsid w:val="00413AFA"/>
    <w:rsid w:val="00413C02"/>
    <w:rsid w:val="00413C07"/>
    <w:rsid w:val="00414474"/>
    <w:rsid w:val="00414D1E"/>
    <w:rsid w:val="00414DEB"/>
    <w:rsid w:val="00415CA3"/>
    <w:rsid w:val="00415CC5"/>
    <w:rsid w:val="0041619F"/>
    <w:rsid w:val="00416279"/>
    <w:rsid w:val="004166B3"/>
    <w:rsid w:val="00416BEA"/>
    <w:rsid w:val="00416E52"/>
    <w:rsid w:val="00417013"/>
    <w:rsid w:val="004170FF"/>
    <w:rsid w:val="00417212"/>
    <w:rsid w:val="00417743"/>
    <w:rsid w:val="004177BF"/>
    <w:rsid w:val="00417902"/>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5BDF"/>
    <w:rsid w:val="00426899"/>
    <w:rsid w:val="00426C90"/>
    <w:rsid w:val="00427C5E"/>
    <w:rsid w:val="00427F99"/>
    <w:rsid w:val="0043021A"/>
    <w:rsid w:val="0043093F"/>
    <w:rsid w:val="00430DE8"/>
    <w:rsid w:val="004310C0"/>
    <w:rsid w:val="004310C2"/>
    <w:rsid w:val="00432429"/>
    <w:rsid w:val="0043259F"/>
    <w:rsid w:val="0043272F"/>
    <w:rsid w:val="0043278C"/>
    <w:rsid w:val="00432792"/>
    <w:rsid w:val="00432AFF"/>
    <w:rsid w:val="00432DFD"/>
    <w:rsid w:val="00433165"/>
    <w:rsid w:val="004333D9"/>
    <w:rsid w:val="004334FB"/>
    <w:rsid w:val="00433568"/>
    <w:rsid w:val="00433591"/>
    <w:rsid w:val="00433CA5"/>
    <w:rsid w:val="00433CC4"/>
    <w:rsid w:val="004340F9"/>
    <w:rsid w:val="00434277"/>
    <w:rsid w:val="00434A44"/>
    <w:rsid w:val="00434B38"/>
    <w:rsid w:val="00434EC9"/>
    <w:rsid w:val="00434F69"/>
    <w:rsid w:val="004350AB"/>
    <w:rsid w:val="004352CB"/>
    <w:rsid w:val="00435471"/>
    <w:rsid w:val="00435895"/>
    <w:rsid w:val="00435972"/>
    <w:rsid w:val="00436018"/>
    <w:rsid w:val="004364C5"/>
    <w:rsid w:val="00436FFD"/>
    <w:rsid w:val="0043746D"/>
    <w:rsid w:val="004374A3"/>
    <w:rsid w:val="0044020C"/>
    <w:rsid w:val="00440391"/>
    <w:rsid w:val="004408F7"/>
    <w:rsid w:val="00440E3D"/>
    <w:rsid w:val="004411FC"/>
    <w:rsid w:val="004413DB"/>
    <w:rsid w:val="00441F03"/>
    <w:rsid w:val="00442089"/>
    <w:rsid w:val="0044336E"/>
    <w:rsid w:val="00443683"/>
    <w:rsid w:val="00443688"/>
    <w:rsid w:val="00443731"/>
    <w:rsid w:val="00443B52"/>
    <w:rsid w:val="00443EA0"/>
    <w:rsid w:val="00444897"/>
    <w:rsid w:val="00444C8A"/>
    <w:rsid w:val="00444DC0"/>
    <w:rsid w:val="00445765"/>
    <w:rsid w:val="004459F4"/>
    <w:rsid w:val="004461B8"/>
    <w:rsid w:val="004468D0"/>
    <w:rsid w:val="004470EE"/>
    <w:rsid w:val="00447514"/>
    <w:rsid w:val="0044788F"/>
    <w:rsid w:val="00447BA9"/>
    <w:rsid w:val="00447C6A"/>
    <w:rsid w:val="00447F68"/>
    <w:rsid w:val="004500A5"/>
    <w:rsid w:val="00450165"/>
    <w:rsid w:val="00450688"/>
    <w:rsid w:val="00450B30"/>
    <w:rsid w:val="00450D38"/>
    <w:rsid w:val="00450D7B"/>
    <w:rsid w:val="00450F97"/>
    <w:rsid w:val="0045141B"/>
    <w:rsid w:val="00451532"/>
    <w:rsid w:val="00451553"/>
    <w:rsid w:val="004515C8"/>
    <w:rsid w:val="00451736"/>
    <w:rsid w:val="004518F6"/>
    <w:rsid w:val="00451915"/>
    <w:rsid w:val="00451BBC"/>
    <w:rsid w:val="00451E00"/>
    <w:rsid w:val="00452849"/>
    <w:rsid w:val="00452C38"/>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871"/>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0D53"/>
    <w:rsid w:val="004816F4"/>
    <w:rsid w:val="004817E1"/>
    <w:rsid w:val="00481D6E"/>
    <w:rsid w:val="00481D81"/>
    <w:rsid w:val="00481DFC"/>
    <w:rsid w:val="00482095"/>
    <w:rsid w:val="00482811"/>
    <w:rsid w:val="00482B13"/>
    <w:rsid w:val="00483312"/>
    <w:rsid w:val="004838D4"/>
    <w:rsid w:val="0048391B"/>
    <w:rsid w:val="00483D36"/>
    <w:rsid w:val="00483E0F"/>
    <w:rsid w:val="0048450B"/>
    <w:rsid w:val="0048451F"/>
    <w:rsid w:val="0048457E"/>
    <w:rsid w:val="00484777"/>
    <w:rsid w:val="00484CFF"/>
    <w:rsid w:val="00484F36"/>
    <w:rsid w:val="004853BC"/>
    <w:rsid w:val="00485B1E"/>
    <w:rsid w:val="00485CFC"/>
    <w:rsid w:val="0048637C"/>
    <w:rsid w:val="00486889"/>
    <w:rsid w:val="004869AB"/>
    <w:rsid w:val="00486EC8"/>
    <w:rsid w:val="0048708F"/>
    <w:rsid w:val="0048739D"/>
    <w:rsid w:val="004873EB"/>
    <w:rsid w:val="00487591"/>
    <w:rsid w:val="00487948"/>
    <w:rsid w:val="00487BA4"/>
    <w:rsid w:val="00487C8A"/>
    <w:rsid w:val="004900B8"/>
    <w:rsid w:val="004906F8"/>
    <w:rsid w:val="0049104E"/>
    <w:rsid w:val="00491D90"/>
    <w:rsid w:val="00491E06"/>
    <w:rsid w:val="0049217F"/>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742"/>
    <w:rsid w:val="004B2DD9"/>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529"/>
    <w:rsid w:val="004B6644"/>
    <w:rsid w:val="004B666B"/>
    <w:rsid w:val="004B679B"/>
    <w:rsid w:val="004B6C2D"/>
    <w:rsid w:val="004B6F76"/>
    <w:rsid w:val="004B7810"/>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76C"/>
    <w:rsid w:val="004C3809"/>
    <w:rsid w:val="004C38EB"/>
    <w:rsid w:val="004C3E54"/>
    <w:rsid w:val="004C3EB9"/>
    <w:rsid w:val="004C40ED"/>
    <w:rsid w:val="004C447F"/>
    <w:rsid w:val="004C450A"/>
    <w:rsid w:val="004C4675"/>
    <w:rsid w:val="004C519D"/>
    <w:rsid w:val="004C52E0"/>
    <w:rsid w:val="004C542E"/>
    <w:rsid w:val="004C5566"/>
    <w:rsid w:val="004C564A"/>
    <w:rsid w:val="004C6172"/>
    <w:rsid w:val="004C6286"/>
    <w:rsid w:val="004C6AC9"/>
    <w:rsid w:val="004C6C7B"/>
    <w:rsid w:val="004C6CD8"/>
    <w:rsid w:val="004C7062"/>
    <w:rsid w:val="004C75E3"/>
    <w:rsid w:val="004C7766"/>
    <w:rsid w:val="004C789E"/>
    <w:rsid w:val="004C78A5"/>
    <w:rsid w:val="004D0005"/>
    <w:rsid w:val="004D0292"/>
    <w:rsid w:val="004D0837"/>
    <w:rsid w:val="004D08FA"/>
    <w:rsid w:val="004D092A"/>
    <w:rsid w:val="004D0DC4"/>
    <w:rsid w:val="004D1590"/>
    <w:rsid w:val="004D1858"/>
    <w:rsid w:val="004D1A44"/>
    <w:rsid w:val="004D1D71"/>
    <w:rsid w:val="004D28A4"/>
    <w:rsid w:val="004D2D11"/>
    <w:rsid w:val="004D2DBA"/>
    <w:rsid w:val="004D2FD0"/>
    <w:rsid w:val="004D3639"/>
    <w:rsid w:val="004D3AD7"/>
    <w:rsid w:val="004D3AE4"/>
    <w:rsid w:val="004D3FC6"/>
    <w:rsid w:val="004D4354"/>
    <w:rsid w:val="004D4A67"/>
    <w:rsid w:val="004D4D0A"/>
    <w:rsid w:val="004D4D93"/>
    <w:rsid w:val="004D4E62"/>
    <w:rsid w:val="004D5298"/>
    <w:rsid w:val="004D53BF"/>
    <w:rsid w:val="004D5699"/>
    <w:rsid w:val="004D5836"/>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914"/>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624"/>
    <w:rsid w:val="004F5747"/>
    <w:rsid w:val="004F5E3C"/>
    <w:rsid w:val="004F5E4A"/>
    <w:rsid w:val="004F6116"/>
    <w:rsid w:val="004F6124"/>
    <w:rsid w:val="004F69C2"/>
    <w:rsid w:val="004F6EBF"/>
    <w:rsid w:val="004F712E"/>
    <w:rsid w:val="004F731E"/>
    <w:rsid w:val="004F73EA"/>
    <w:rsid w:val="004F7702"/>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7B3"/>
    <w:rsid w:val="0050493B"/>
    <w:rsid w:val="00504CAE"/>
    <w:rsid w:val="00504E57"/>
    <w:rsid w:val="00504E74"/>
    <w:rsid w:val="0050567C"/>
    <w:rsid w:val="005059E6"/>
    <w:rsid w:val="005063A9"/>
    <w:rsid w:val="00506502"/>
    <w:rsid w:val="00506693"/>
    <w:rsid w:val="00506720"/>
    <w:rsid w:val="005067A1"/>
    <w:rsid w:val="00506A52"/>
    <w:rsid w:val="00506A7A"/>
    <w:rsid w:val="0050710C"/>
    <w:rsid w:val="005078FC"/>
    <w:rsid w:val="0051008F"/>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7EE"/>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1B7"/>
    <w:rsid w:val="005373B2"/>
    <w:rsid w:val="00537911"/>
    <w:rsid w:val="00540018"/>
    <w:rsid w:val="005401A9"/>
    <w:rsid w:val="00540DF1"/>
    <w:rsid w:val="005413FD"/>
    <w:rsid w:val="0054177C"/>
    <w:rsid w:val="00541D7D"/>
    <w:rsid w:val="005425A1"/>
    <w:rsid w:val="005425AE"/>
    <w:rsid w:val="0054260E"/>
    <w:rsid w:val="00542707"/>
    <w:rsid w:val="0054279D"/>
    <w:rsid w:val="00542CB1"/>
    <w:rsid w:val="00542E5E"/>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17E2"/>
    <w:rsid w:val="00552035"/>
    <w:rsid w:val="00552054"/>
    <w:rsid w:val="00552295"/>
    <w:rsid w:val="0055243D"/>
    <w:rsid w:val="005525E0"/>
    <w:rsid w:val="00552D1E"/>
    <w:rsid w:val="00552D90"/>
    <w:rsid w:val="00552EF8"/>
    <w:rsid w:val="00552FBA"/>
    <w:rsid w:val="0055320C"/>
    <w:rsid w:val="00553326"/>
    <w:rsid w:val="00553E20"/>
    <w:rsid w:val="005549FD"/>
    <w:rsid w:val="0055546C"/>
    <w:rsid w:val="005554F7"/>
    <w:rsid w:val="00555CD1"/>
    <w:rsid w:val="00555D66"/>
    <w:rsid w:val="005561FF"/>
    <w:rsid w:val="00556325"/>
    <w:rsid w:val="005568F0"/>
    <w:rsid w:val="00557715"/>
    <w:rsid w:val="0056070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065"/>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2B0D"/>
    <w:rsid w:val="0058354A"/>
    <w:rsid w:val="0058368D"/>
    <w:rsid w:val="005837AD"/>
    <w:rsid w:val="00583BE9"/>
    <w:rsid w:val="00583C20"/>
    <w:rsid w:val="00583CAF"/>
    <w:rsid w:val="0058402C"/>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48DB"/>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1D3C"/>
    <w:rsid w:val="005A2224"/>
    <w:rsid w:val="005A2445"/>
    <w:rsid w:val="005A24F5"/>
    <w:rsid w:val="005A2617"/>
    <w:rsid w:val="005A2838"/>
    <w:rsid w:val="005A28C9"/>
    <w:rsid w:val="005A3227"/>
    <w:rsid w:val="005A34D5"/>
    <w:rsid w:val="005A35B1"/>
    <w:rsid w:val="005A389C"/>
    <w:rsid w:val="005A3DDB"/>
    <w:rsid w:val="005A3F60"/>
    <w:rsid w:val="005A46BF"/>
    <w:rsid w:val="005A494C"/>
    <w:rsid w:val="005A4C30"/>
    <w:rsid w:val="005A4EDE"/>
    <w:rsid w:val="005A4EFA"/>
    <w:rsid w:val="005A53F5"/>
    <w:rsid w:val="005A5481"/>
    <w:rsid w:val="005A5E05"/>
    <w:rsid w:val="005A5F82"/>
    <w:rsid w:val="005A63D5"/>
    <w:rsid w:val="005A6650"/>
    <w:rsid w:val="005A6B55"/>
    <w:rsid w:val="005A6BB3"/>
    <w:rsid w:val="005A6EBA"/>
    <w:rsid w:val="005A73CA"/>
    <w:rsid w:val="005B08D0"/>
    <w:rsid w:val="005B0971"/>
    <w:rsid w:val="005B0B2D"/>
    <w:rsid w:val="005B0D10"/>
    <w:rsid w:val="005B0EFF"/>
    <w:rsid w:val="005B0F70"/>
    <w:rsid w:val="005B0F7B"/>
    <w:rsid w:val="005B106C"/>
    <w:rsid w:val="005B1738"/>
    <w:rsid w:val="005B1B28"/>
    <w:rsid w:val="005B1CD4"/>
    <w:rsid w:val="005B1E40"/>
    <w:rsid w:val="005B2244"/>
    <w:rsid w:val="005B298C"/>
    <w:rsid w:val="005B2B64"/>
    <w:rsid w:val="005B2FA6"/>
    <w:rsid w:val="005B3076"/>
    <w:rsid w:val="005B3A92"/>
    <w:rsid w:val="005B3BE1"/>
    <w:rsid w:val="005B3E39"/>
    <w:rsid w:val="005B42D3"/>
    <w:rsid w:val="005B5339"/>
    <w:rsid w:val="005B56E7"/>
    <w:rsid w:val="005B5717"/>
    <w:rsid w:val="005B5762"/>
    <w:rsid w:val="005B58C2"/>
    <w:rsid w:val="005B5A69"/>
    <w:rsid w:val="005B5BB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34"/>
    <w:rsid w:val="005C2896"/>
    <w:rsid w:val="005C37CB"/>
    <w:rsid w:val="005C39D5"/>
    <w:rsid w:val="005C3AB3"/>
    <w:rsid w:val="005C3C69"/>
    <w:rsid w:val="005C3DDA"/>
    <w:rsid w:val="005C3F88"/>
    <w:rsid w:val="005C4909"/>
    <w:rsid w:val="005C490F"/>
    <w:rsid w:val="005C4975"/>
    <w:rsid w:val="005C4E7B"/>
    <w:rsid w:val="005C4F7E"/>
    <w:rsid w:val="005C4F9B"/>
    <w:rsid w:val="005C538F"/>
    <w:rsid w:val="005C5BCC"/>
    <w:rsid w:val="005C6288"/>
    <w:rsid w:val="005C676D"/>
    <w:rsid w:val="005C6B1D"/>
    <w:rsid w:val="005C75F5"/>
    <w:rsid w:val="005C761D"/>
    <w:rsid w:val="005D0287"/>
    <w:rsid w:val="005D0BE6"/>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9"/>
    <w:rsid w:val="005D4BAA"/>
    <w:rsid w:val="005D570D"/>
    <w:rsid w:val="005D5776"/>
    <w:rsid w:val="005D5B6A"/>
    <w:rsid w:val="005D5D8D"/>
    <w:rsid w:val="005D6345"/>
    <w:rsid w:val="005D6390"/>
    <w:rsid w:val="005D6518"/>
    <w:rsid w:val="005D68A5"/>
    <w:rsid w:val="005D6B58"/>
    <w:rsid w:val="005D6DDB"/>
    <w:rsid w:val="005D700F"/>
    <w:rsid w:val="005D738D"/>
    <w:rsid w:val="005D7725"/>
    <w:rsid w:val="005D7923"/>
    <w:rsid w:val="005E01C8"/>
    <w:rsid w:val="005E01CB"/>
    <w:rsid w:val="005E0497"/>
    <w:rsid w:val="005E04EF"/>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5F67"/>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79F"/>
    <w:rsid w:val="005F3C0F"/>
    <w:rsid w:val="005F3DD6"/>
    <w:rsid w:val="005F3EDF"/>
    <w:rsid w:val="005F403C"/>
    <w:rsid w:val="005F446E"/>
    <w:rsid w:val="005F48F0"/>
    <w:rsid w:val="005F49F9"/>
    <w:rsid w:val="005F5080"/>
    <w:rsid w:val="005F5239"/>
    <w:rsid w:val="005F52D8"/>
    <w:rsid w:val="005F57BC"/>
    <w:rsid w:val="005F5902"/>
    <w:rsid w:val="005F5942"/>
    <w:rsid w:val="005F5DF7"/>
    <w:rsid w:val="005F5E73"/>
    <w:rsid w:val="005F5E95"/>
    <w:rsid w:val="005F62FB"/>
    <w:rsid w:val="005F6998"/>
    <w:rsid w:val="005F6D1D"/>
    <w:rsid w:val="005F6E84"/>
    <w:rsid w:val="005F7045"/>
    <w:rsid w:val="005F76C2"/>
    <w:rsid w:val="005F7A19"/>
    <w:rsid w:val="005F7C91"/>
    <w:rsid w:val="005F7D66"/>
    <w:rsid w:val="005F7DD1"/>
    <w:rsid w:val="005F7DEF"/>
    <w:rsid w:val="005F7FDA"/>
    <w:rsid w:val="006001FB"/>
    <w:rsid w:val="00600246"/>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628"/>
    <w:rsid w:val="006057C4"/>
    <w:rsid w:val="00605ABC"/>
    <w:rsid w:val="00605E70"/>
    <w:rsid w:val="00606290"/>
    <w:rsid w:val="006067A4"/>
    <w:rsid w:val="00606985"/>
    <w:rsid w:val="00606D00"/>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12A"/>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059"/>
    <w:rsid w:val="006211A5"/>
    <w:rsid w:val="00621225"/>
    <w:rsid w:val="006212FD"/>
    <w:rsid w:val="006225A2"/>
    <w:rsid w:val="006225CA"/>
    <w:rsid w:val="006229F6"/>
    <w:rsid w:val="00622A0B"/>
    <w:rsid w:val="00622C6C"/>
    <w:rsid w:val="00623368"/>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3FF"/>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3F6"/>
    <w:rsid w:val="00636E05"/>
    <w:rsid w:val="00637603"/>
    <w:rsid w:val="0063776F"/>
    <w:rsid w:val="00637971"/>
    <w:rsid w:val="00637A09"/>
    <w:rsid w:val="00640165"/>
    <w:rsid w:val="006405B9"/>
    <w:rsid w:val="00640FAB"/>
    <w:rsid w:val="00641C98"/>
    <w:rsid w:val="00641CD3"/>
    <w:rsid w:val="00642018"/>
    <w:rsid w:val="006420C2"/>
    <w:rsid w:val="0064299F"/>
    <w:rsid w:val="0064317E"/>
    <w:rsid w:val="00643598"/>
    <w:rsid w:val="00643704"/>
    <w:rsid w:val="00643763"/>
    <w:rsid w:val="00643A4C"/>
    <w:rsid w:val="00643C62"/>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84B"/>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7D6"/>
    <w:rsid w:val="006578AD"/>
    <w:rsid w:val="00657FEC"/>
    <w:rsid w:val="00660114"/>
    <w:rsid w:val="00660450"/>
    <w:rsid w:val="006604EC"/>
    <w:rsid w:val="00660955"/>
    <w:rsid w:val="00660B88"/>
    <w:rsid w:val="00660C47"/>
    <w:rsid w:val="00660C62"/>
    <w:rsid w:val="00660E41"/>
    <w:rsid w:val="00661BC3"/>
    <w:rsid w:val="00662235"/>
    <w:rsid w:val="006626B6"/>
    <w:rsid w:val="0066286F"/>
    <w:rsid w:val="00662B06"/>
    <w:rsid w:val="0066318F"/>
    <w:rsid w:val="0066323F"/>
    <w:rsid w:val="0066383F"/>
    <w:rsid w:val="00663A11"/>
    <w:rsid w:val="00663A4E"/>
    <w:rsid w:val="00663E77"/>
    <w:rsid w:val="0066418D"/>
    <w:rsid w:val="0066427F"/>
    <w:rsid w:val="00664829"/>
    <w:rsid w:val="00664E8B"/>
    <w:rsid w:val="00664F45"/>
    <w:rsid w:val="00664FC6"/>
    <w:rsid w:val="0066514C"/>
    <w:rsid w:val="006655A9"/>
    <w:rsid w:val="0066564E"/>
    <w:rsid w:val="0066573E"/>
    <w:rsid w:val="00665BB3"/>
    <w:rsid w:val="00665E07"/>
    <w:rsid w:val="00666773"/>
    <w:rsid w:val="00666FB2"/>
    <w:rsid w:val="0066726E"/>
    <w:rsid w:val="00667611"/>
    <w:rsid w:val="006676B4"/>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5A5"/>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38F"/>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5C0E"/>
    <w:rsid w:val="0069648F"/>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9EC"/>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089"/>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2BB0"/>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C35"/>
    <w:rsid w:val="006D1D94"/>
    <w:rsid w:val="006D29A7"/>
    <w:rsid w:val="006D2B7D"/>
    <w:rsid w:val="006D2C73"/>
    <w:rsid w:val="006D2FF5"/>
    <w:rsid w:val="006D3107"/>
    <w:rsid w:val="006D350D"/>
    <w:rsid w:val="006D384A"/>
    <w:rsid w:val="006D3BEE"/>
    <w:rsid w:val="006D3BF7"/>
    <w:rsid w:val="006D3F96"/>
    <w:rsid w:val="006D4081"/>
    <w:rsid w:val="006D4798"/>
    <w:rsid w:val="006D4B74"/>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9CD"/>
    <w:rsid w:val="006E3F73"/>
    <w:rsid w:val="006E4210"/>
    <w:rsid w:val="006E43F4"/>
    <w:rsid w:val="006E48A1"/>
    <w:rsid w:val="006E492B"/>
    <w:rsid w:val="006E4983"/>
    <w:rsid w:val="006E4A0B"/>
    <w:rsid w:val="006E4A3C"/>
    <w:rsid w:val="006E4BC7"/>
    <w:rsid w:val="006E4CB7"/>
    <w:rsid w:val="006E4DC6"/>
    <w:rsid w:val="006E4F59"/>
    <w:rsid w:val="006E52DD"/>
    <w:rsid w:val="006E58FB"/>
    <w:rsid w:val="006E5A82"/>
    <w:rsid w:val="006E6587"/>
    <w:rsid w:val="006E6B1E"/>
    <w:rsid w:val="006E6B92"/>
    <w:rsid w:val="006E7148"/>
    <w:rsid w:val="006E7285"/>
    <w:rsid w:val="006E7A34"/>
    <w:rsid w:val="006F0486"/>
    <w:rsid w:val="006F05A7"/>
    <w:rsid w:val="006F0683"/>
    <w:rsid w:val="006F0EB6"/>
    <w:rsid w:val="006F1086"/>
    <w:rsid w:val="006F115A"/>
    <w:rsid w:val="006F1805"/>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331C"/>
    <w:rsid w:val="00704077"/>
    <w:rsid w:val="007043CB"/>
    <w:rsid w:val="007043E1"/>
    <w:rsid w:val="00704752"/>
    <w:rsid w:val="007049A2"/>
    <w:rsid w:val="00704C26"/>
    <w:rsid w:val="00704E56"/>
    <w:rsid w:val="007051E9"/>
    <w:rsid w:val="0070587A"/>
    <w:rsid w:val="0070592C"/>
    <w:rsid w:val="00705B61"/>
    <w:rsid w:val="00705B83"/>
    <w:rsid w:val="00706468"/>
    <w:rsid w:val="007064A0"/>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7E3"/>
    <w:rsid w:val="007149C5"/>
    <w:rsid w:val="00714FE2"/>
    <w:rsid w:val="00715275"/>
    <w:rsid w:val="00715968"/>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7A1"/>
    <w:rsid w:val="00723CE9"/>
    <w:rsid w:val="00724021"/>
    <w:rsid w:val="0072431A"/>
    <w:rsid w:val="007243CC"/>
    <w:rsid w:val="00724435"/>
    <w:rsid w:val="00724621"/>
    <w:rsid w:val="00724B70"/>
    <w:rsid w:val="00724E01"/>
    <w:rsid w:val="007253B0"/>
    <w:rsid w:val="0072580A"/>
    <w:rsid w:val="00725AA7"/>
    <w:rsid w:val="00725D78"/>
    <w:rsid w:val="00725FF0"/>
    <w:rsid w:val="00726052"/>
    <w:rsid w:val="007261C1"/>
    <w:rsid w:val="007263E2"/>
    <w:rsid w:val="00726443"/>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9A1"/>
    <w:rsid w:val="00747B1A"/>
    <w:rsid w:val="00747E74"/>
    <w:rsid w:val="0075031E"/>
    <w:rsid w:val="00750866"/>
    <w:rsid w:val="00750DB4"/>
    <w:rsid w:val="00751176"/>
    <w:rsid w:val="007513CD"/>
    <w:rsid w:val="007515EA"/>
    <w:rsid w:val="007516F8"/>
    <w:rsid w:val="00751F7B"/>
    <w:rsid w:val="00752187"/>
    <w:rsid w:val="00752398"/>
    <w:rsid w:val="00752C93"/>
    <w:rsid w:val="00752E2D"/>
    <w:rsid w:val="00752E7E"/>
    <w:rsid w:val="00752EC5"/>
    <w:rsid w:val="00753068"/>
    <w:rsid w:val="00753255"/>
    <w:rsid w:val="007534BA"/>
    <w:rsid w:val="0075360A"/>
    <w:rsid w:val="00753878"/>
    <w:rsid w:val="00753889"/>
    <w:rsid w:val="00753F20"/>
    <w:rsid w:val="00753FF0"/>
    <w:rsid w:val="0075449A"/>
    <w:rsid w:val="00754667"/>
    <w:rsid w:val="007548E9"/>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113"/>
    <w:rsid w:val="0076213B"/>
    <w:rsid w:val="007624FC"/>
    <w:rsid w:val="007625A3"/>
    <w:rsid w:val="0076278D"/>
    <w:rsid w:val="00762A3E"/>
    <w:rsid w:val="00762E0D"/>
    <w:rsid w:val="0076357F"/>
    <w:rsid w:val="00763BE1"/>
    <w:rsid w:val="00763C34"/>
    <w:rsid w:val="007641C7"/>
    <w:rsid w:val="00765034"/>
    <w:rsid w:val="007651EF"/>
    <w:rsid w:val="007653A0"/>
    <w:rsid w:val="00765425"/>
    <w:rsid w:val="00765718"/>
    <w:rsid w:val="007659D7"/>
    <w:rsid w:val="00765A86"/>
    <w:rsid w:val="00765B77"/>
    <w:rsid w:val="00765FCD"/>
    <w:rsid w:val="00766297"/>
    <w:rsid w:val="007664CC"/>
    <w:rsid w:val="0076653E"/>
    <w:rsid w:val="0076672D"/>
    <w:rsid w:val="00766A18"/>
    <w:rsid w:val="00767236"/>
    <w:rsid w:val="0076767C"/>
    <w:rsid w:val="00767AD9"/>
    <w:rsid w:val="00770668"/>
    <w:rsid w:val="0077091A"/>
    <w:rsid w:val="00770A9D"/>
    <w:rsid w:val="0077138C"/>
    <w:rsid w:val="0077150B"/>
    <w:rsid w:val="00771535"/>
    <w:rsid w:val="007715A3"/>
    <w:rsid w:val="00771722"/>
    <w:rsid w:val="00771DC1"/>
    <w:rsid w:val="0077276D"/>
    <w:rsid w:val="007727F9"/>
    <w:rsid w:val="00772C77"/>
    <w:rsid w:val="00772EA1"/>
    <w:rsid w:val="00772F04"/>
    <w:rsid w:val="00773419"/>
    <w:rsid w:val="00773504"/>
    <w:rsid w:val="007736B9"/>
    <w:rsid w:val="00773794"/>
    <w:rsid w:val="00773835"/>
    <w:rsid w:val="00773BA6"/>
    <w:rsid w:val="00773E84"/>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164"/>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422"/>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3FB"/>
    <w:rsid w:val="00790FE1"/>
    <w:rsid w:val="00791095"/>
    <w:rsid w:val="007910F3"/>
    <w:rsid w:val="007916A7"/>
    <w:rsid w:val="007916C7"/>
    <w:rsid w:val="007916EF"/>
    <w:rsid w:val="00791937"/>
    <w:rsid w:val="00791CE5"/>
    <w:rsid w:val="00791F68"/>
    <w:rsid w:val="00791FE7"/>
    <w:rsid w:val="0079214C"/>
    <w:rsid w:val="00792405"/>
    <w:rsid w:val="00792C00"/>
    <w:rsid w:val="00792D7A"/>
    <w:rsid w:val="0079328B"/>
    <w:rsid w:val="00793760"/>
    <w:rsid w:val="007937FD"/>
    <w:rsid w:val="00793B5B"/>
    <w:rsid w:val="0079483A"/>
    <w:rsid w:val="0079485A"/>
    <w:rsid w:val="00794C8E"/>
    <w:rsid w:val="00794D98"/>
    <w:rsid w:val="007952F5"/>
    <w:rsid w:val="007954B4"/>
    <w:rsid w:val="0079557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FFD"/>
    <w:rsid w:val="007A64D8"/>
    <w:rsid w:val="007A76CF"/>
    <w:rsid w:val="007A7AB2"/>
    <w:rsid w:val="007A7B61"/>
    <w:rsid w:val="007B01DE"/>
    <w:rsid w:val="007B0779"/>
    <w:rsid w:val="007B0E6A"/>
    <w:rsid w:val="007B1091"/>
    <w:rsid w:val="007B1518"/>
    <w:rsid w:val="007B181D"/>
    <w:rsid w:val="007B1F3B"/>
    <w:rsid w:val="007B21DD"/>
    <w:rsid w:val="007B2B26"/>
    <w:rsid w:val="007B34F9"/>
    <w:rsid w:val="007B351F"/>
    <w:rsid w:val="007B3748"/>
    <w:rsid w:val="007B393C"/>
    <w:rsid w:val="007B39CC"/>
    <w:rsid w:val="007B3A96"/>
    <w:rsid w:val="007B3DA8"/>
    <w:rsid w:val="007B3DE2"/>
    <w:rsid w:val="007B44AE"/>
    <w:rsid w:val="007B4AB0"/>
    <w:rsid w:val="007B4B59"/>
    <w:rsid w:val="007B4EE5"/>
    <w:rsid w:val="007B512A"/>
    <w:rsid w:val="007B55D3"/>
    <w:rsid w:val="007B5889"/>
    <w:rsid w:val="007B5949"/>
    <w:rsid w:val="007B5D18"/>
    <w:rsid w:val="007B5ED4"/>
    <w:rsid w:val="007B6426"/>
    <w:rsid w:val="007B64F2"/>
    <w:rsid w:val="007B66B5"/>
    <w:rsid w:val="007B6910"/>
    <w:rsid w:val="007B6B69"/>
    <w:rsid w:val="007B6F8F"/>
    <w:rsid w:val="007B74E6"/>
    <w:rsid w:val="007B7B85"/>
    <w:rsid w:val="007C0610"/>
    <w:rsid w:val="007C0773"/>
    <w:rsid w:val="007C077B"/>
    <w:rsid w:val="007C0CF7"/>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77D"/>
    <w:rsid w:val="007D3860"/>
    <w:rsid w:val="007D393B"/>
    <w:rsid w:val="007D3D08"/>
    <w:rsid w:val="007D3D7B"/>
    <w:rsid w:val="007D4A87"/>
    <w:rsid w:val="007D4CF0"/>
    <w:rsid w:val="007D4FC6"/>
    <w:rsid w:val="007D54CF"/>
    <w:rsid w:val="007D58D3"/>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02"/>
    <w:rsid w:val="007F5A7C"/>
    <w:rsid w:val="007F5FF4"/>
    <w:rsid w:val="007F6187"/>
    <w:rsid w:val="007F61AC"/>
    <w:rsid w:val="007F63C3"/>
    <w:rsid w:val="007F649C"/>
    <w:rsid w:val="007F675C"/>
    <w:rsid w:val="007F69C8"/>
    <w:rsid w:val="007F6E96"/>
    <w:rsid w:val="007F6F78"/>
    <w:rsid w:val="007F7504"/>
    <w:rsid w:val="007F794A"/>
    <w:rsid w:val="007F7C17"/>
    <w:rsid w:val="007F7D93"/>
    <w:rsid w:val="007F7F95"/>
    <w:rsid w:val="0080030B"/>
    <w:rsid w:val="008003A7"/>
    <w:rsid w:val="0080074F"/>
    <w:rsid w:val="00800C2B"/>
    <w:rsid w:val="00800C42"/>
    <w:rsid w:val="00800F2A"/>
    <w:rsid w:val="008015EB"/>
    <w:rsid w:val="00802A2C"/>
    <w:rsid w:val="00802A86"/>
    <w:rsid w:val="00802C73"/>
    <w:rsid w:val="00802D3B"/>
    <w:rsid w:val="00802E45"/>
    <w:rsid w:val="008032B2"/>
    <w:rsid w:val="0080356F"/>
    <w:rsid w:val="00803787"/>
    <w:rsid w:val="00803AF6"/>
    <w:rsid w:val="00803B34"/>
    <w:rsid w:val="00803DB4"/>
    <w:rsid w:val="008041F4"/>
    <w:rsid w:val="008042B5"/>
    <w:rsid w:val="008046F4"/>
    <w:rsid w:val="008056C2"/>
    <w:rsid w:val="0080575D"/>
    <w:rsid w:val="008057CA"/>
    <w:rsid w:val="00805C3C"/>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36F"/>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1AD"/>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98E"/>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5BCB"/>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C9C"/>
    <w:rsid w:val="00842F27"/>
    <w:rsid w:val="00842FD0"/>
    <w:rsid w:val="0084318F"/>
    <w:rsid w:val="008431D9"/>
    <w:rsid w:val="00843212"/>
    <w:rsid w:val="008432D0"/>
    <w:rsid w:val="0084392D"/>
    <w:rsid w:val="00843C96"/>
    <w:rsid w:val="00844529"/>
    <w:rsid w:val="008451A7"/>
    <w:rsid w:val="008451B9"/>
    <w:rsid w:val="008452BD"/>
    <w:rsid w:val="008452F0"/>
    <w:rsid w:val="008452F5"/>
    <w:rsid w:val="00845780"/>
    <w:rsid w:val="008458E7"/>
    <w:rsid w:val="00845957"/>
    <w:rsid w:val="00845B6F"/>
    <w:rsid w:val="008463AC"/>
    <w:rsid w:val="00846685"/>
    <w:rsid w:val="008469DA"/>
    <w:rsid w:val="00846F38"/>
    <w:rsid w:val="0084736D"/>
    <w:rsid w:val="00847483"/>
    <w:rsid w:val="00847C83"/>
    <w:rsid w:val="00847CD4"/>
    <w:rsid w:val="008505EC"/>
    <w:rsid w:val="00850917"/>
    <w:rsid w:val="00850B10"/>
    <w:rsid w:val="00850CB6"/>
    <w:rsid w:val="008510B1"/>
    <w:rsid w:val="00851714"/>
    <w:rsid w:val="008517AC"/>
    <w:rsid w:val="00851FCB"/>
    <w:rsid w:val="008520CA"/>
    <w:rsid w:val="0085245E"/>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08"/>
    <w:rsid w:val="008633FD"/>
    <w:rsid w:val="0086354E"/>
    <w:rsid w:val="0086357B"/>
    <w:rsid w:val="00863799"/>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40B"/>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773"/>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1A8A"/>
    <w:rsid w:val="008821FC"/>
    <w:rsid w:val="008828B7"/>
    <w:rsid w:val="0088296C"/>
    <w:rsid w:val="00882C08"/>
    <w:rsid w:val="00883078"/>
    <w:rsid w:val="008834A0"/>
    <w:rsid w:val="00883BA7"/>
    <w:rsid w:val="00883CC0"/>
    <w:rsid w:val="00883E67"/>
    <w:rsid w:val="0088434F"/>
    <w:rsid w:val="00884669"/>
    <w:rsid w:val="00884B21"/>
    <w:rsid w:val="00884C13"/>
    <w:rsid w:val="00884E43"/>
    <w:rsid w:val="00884EBC"/>
    <w:rsid w:val="00884FF2"/>
    <w:rsid w:val="00885457"/>
    <w:rsid w:val="008855A0"/>
    <w:rsid w:val="00885672"/>
    <w:rsid w:val="008857A2"/>
    <w:rsid w:val="00885978"/>
    <w:rsid w:val="00886396"/>
    <w:rsid w:val="00887073"/>
    <w:rsid w:val="008870AB"/>
    <w:rsid w:val="008872FC"/>
    <w:rsid w:val="00887496"/>
    <w:rsid w:val="0088758B"/>
    <w:rsid w:val="00887615"/>
    <w:rsid w:val="00887A63"/>
    <w:rsid w:val="00890511"/>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77F"/>
    <w:rsid w:val="008A4B9F"/>
    <w:rsid w:val="008A4C70"/>
    <w:rsid w:val="008A4C74"/>
    <w:rsid w:val="008A4C92"/>
    <w:rsid w:val="008A4D0C"/>
    <w:rsid w:val="008A506F"/>
    <w:rsid w:val="008A554A"/>
    <w:rsid w:val="008A56BB"/>
    <w:rsid w:val="008A5B4D"/>
    <w:rsid w:val="008A63F4"/>
    <w:rsid w:val="008A6715"/>
    <w:rsid w:val="008A6766"/>
    <w:rsid w:val="008A7101"/>
    <w:rsid w:val="008A7567"/>
    <w:rsid w:val="008A77A0"/>
    <w:rsid w:val="008A77C2"/>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0AF"/>
    <w:rsid w:val="008B43B8"/>
    <w:rsid w:val="008B4922"/>
    <w:rsid w:val="008B4D73"/>
    <w:rsid w:val="008B5CB8"/>
    <w:rsid w:val="008B6800"/>
    <w:rsid w:val="008B68E6"/>
    <w:rsid w:val="008B6A5D"/>
    <w:rsid w:val="008B7196"/>
    <w:rsid w:val="008B754C"/>
    <w:rsid w:val="008C016C"/>
    <w:rsid w:val="008C03D7"/>
    <w:rsid w:val="008C0AB4"/>
    <w:rsid w:val="008C14B5"/>
    <w:rsid w:val="008C1C64"/>
    <w:rsid w:val="008C1D7D"/>
    <w:rsid w:val="008C2099"/>
    <w:rsid w:val="008C21E6"/>
    <w:rsid w:val="008C2233"/>
    <w:rsid w:val="008C25F0"/>
    <w:rsid w:val="008C26ED"/>
    <w:rsid w:val="008C2904"/>
    <w:rsid w:val="008C2AA5"/>
    <w:rsid w:val="008C3177"/>
    <w:rsid w:val="008C319A"/>
    <w:rsid w:val="008C3A01"/>
    <w:rsid w:val="008C3BF7"/>
    <w:rsid w:val="008C4344"/>
    <w:rsid w:val="008C43D7"/>
    <w:rsid w:val="008C477C"/>
    <w:rsid w:val="008C4C35"/>
    <w:rsid w:val="008C4E2E"/>
    <w:rsid w:val="008C5851"/>
    <w:rsid w:val="008C5D79"/>
    <w:rsid w:val="008C6499"/>
    <w:rsid w:val="008C6D5F"/>
    <w:rsid w:val="008C6F52"/>
    <w:rsid w:val="008C706F"/>
    <w:rsid w:val="008C7127"/>
    <w:rsid w:val="008C748D"/>
    <w:rsid w:val="008C75E9"/>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5EDF"/>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77D"/>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7F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4902"/>
    <w:rsid w:val="0090501D"/>
    <w:rsid w:val="0090588F"/>
    <w:rsid w:val="00905AE0"/>
    <w:rsid w:val="00905E20"/>
    <w:rsid w:val="0090674B"/>
    <w:rsid w:val="00906B56"/>
    <w:rsid w:val="00906DAF"/>
    <w:rsid w:val="00907087"/>
    <w:rsid w:val="00907175"/>
    <w:rsid w:val="009073CF"/>
    <w:rsid w:val="00907F1B"/>
    <w:rsid w:val="00910797"/>
    <w:rsid w:val="0091094E"/>
    <w:rsid w:val="00910A71"/>
    <w:rsid w:val="009113FB"/>
    <w:rsid w:val="009118BC"/>
    <w:rsid w:val="009118E5"/>
    <w:rsid w:val="00911B40"/>
    <w:rsid w:val="00912446"/>
    <w:rsid w:val="00912C7C"/>
    <w:rsid w:val="00912EEC"/>
    <w:rsid w:val="0091301E"/>
    <w:rsid w:val="0091364E"/>
    <w:rsid w:val="00913B5B"/>
    <w:rsid w:val="009149B0"/>
    <w:rsid w:val="00914B1A"/>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2C86"/>
    <w:rsid w:val="00923581"/>
    <w:rsid w:val="009235A2"/>
    <w:rsid w:val="00923641"/>
    <w:rsid w:val="00923AEA"/>
    <w:rsid w:val="00923BEE"/>
    <w:rsid w:val="0092516C"/>
    <w:rsid w:val="00925309"/>
    <w:rsid w:val="0092549B"/>
    <w:rsid w:val="009256B8"/>
    <w:rsid w:val="009256D3"/>
    <w:rsid w:val="009258D5"/>
    <w:rsid w:val="00925DBF"/>
    <w:rsid w:val="00925F10"/>
    <w:rsid w:val="009263F7"/>
    <w:rsid w:val="00926931"/>
    <w:rsid w:val="00926DC7"/>
    <w:rsid w:val="00926ED5"/>
    <w:rsid w:val="00926F8D"/>
    <w:rsid w:val="00927005"/>
    <w:rsid w:val="009273AF"/>
    <w:rsid w:val="0092778C"/>
    <w:rsid w:val="009277AA"/>
    <w:rsid w:val="00930048"/>
    <w:rsid w:val="009300CB"/>
    <w:rsid w:val="00930478"/>
    <w:rsid w:val="009309F5"/>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193"/>
    <w:rsid w:val="009361E8"/>
    <w:rsid w:val="009362FC"/>
    <w:rsid w:val="009363AE"/>
    <w:rsid w:val="0093692D"/>
    <w:rsid w:val="009369B8"/>
    <w:rsid w:val="00937C1B"/>
    <w:rsid w:val="009400D1"/>
    <w:rsid w:val="00940514"/>
    <w:rsid w:val="00940654"/>
    <w:rsid w:val="009407C4"/>
    <w:rsid w:val="00940C9D"/>
    <w:rsid w:val="00940D56"/>
    <w:rsid w:val="009416E2"/>
    <w:rsid w:val="00941700"/>
    <w:rsid w:val="00941848"/>
    <w:rsid w:val="00941D99"/>
    <w:rsid w:val="0094248D"/>
    <w:rsid w:val="009429A7"/>
    <w:rsid w:val="00942ADB"/>
    <w:rsid w:val="00943657"/>
    <w:rsid w:val="00943B9E"/>
    <w:rsid w:val="00943DD6"/>
    <w:rsid w:val="00944319"/>
    <w:rsid w:val="00944449"/>
    <w:rsid w:val="00944691"/>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9A4"/>
    <w:rsid w:val="00947A15"/>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4A"/>
    <w:rsid w:val="009535FD"/>
    <w:rsid w:val="00953AAD"/>
    <w:rsid w:val="00953C7F"/>
    <w:rsid w:val="00953D24"/>
    <w:rsid w:val="009541A8"/>
    <w:rsid w:val="00954249"/>
    <w:rsid w:val="009542C1"/>
    <w:rsid w:val="00954578"/>
    <w:rsid w:val="0095482E"/>
    <w:rsid w:val="0095529B"/>
    <w:rsid w:val="0095576B"/>
    <w:rsid w:val="00955D25"/>
    <w:rsid w:val="009563A8"/>
    <w:rsid w:val="009568B1"/>
    <w:rsid w:val="00956D63"/>
    <w:rsid w:val="009572DB"/>
    <w:rsid w:val="00957AEC"/>
    <w:rsid w:val="00957E2A"/>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62"/>
    <w:rsid w:val="00967BA4"/>
    <w:rsid w:val="009705E3"/>
    <w:rsid w:val="009708CA"/>
    <w:rsid w:val="009711F5"/>
    <w:rsid w:val="009716F0"/>
    <w:rsid w:val="00972289"/>
    <w:rsid w:val="0097234E"/>
    <w:rsid w:val="0097291B"/>
    <w:rsid w:val="00972DAA"/>
    <w:rsid w:val="00972E8C"/>
    <w:rsid w:val="009732FF"/>
    <w:rsid w:val="009736CB"/>
    <w:rsid w:val="00973AA2"/>
    <w:rsid w:val="00973C20"/>
    <w:rsid w:val="0097441A"/>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BFE"/>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3BD"/>
    <w:rsid w:val="00983FD4"/>
    <w:rsid w:val="00983FD7"/>
    <w:rsid w:val="00984637"/>
    <w:rsid w:val="00985053"/>
    <w:rsid w:val="00985085"/>
    <w:rsid w:val="009851A1"/>
    <w:rsid w:val="00985319"/>
    <w:rsid w:val="00985754"/>
    <w:rsid w:val="00985A95"/>
    <w:rsid w:val="00985BA0"/>
    <w:rsid w:val="00985C55"/>
    <w:rsid w:val="00985C59"/>
    <w:rsid w:val="00985E90"/>
    <w:rsid w:val="00986118"/>
    <w:rsid w:val="0098647B"/>
    <w:rsid w:val="009868CD"/>
    <w:rsid w:val="00986BD9"/>
    <w:rsid w:val="00986E82"/>
    <w:rsid w:val="00987254"/>
    <w:rsid w:val="00987546"/>
    <w:rsid w:val="00987838"/>
    <w:rsid w:val="00987C5C"/>
    <w:rsid w:val="00990026"/>
    <w:rsid w:val="00990255"/>
    <w:rsid w:val="009905DA"/>
    <w:rsid w:val="00990A61"/>
    <w:rsid w:val="00990F7C"/>
    <w:rsid w:val="009910C3"/>
    <w:rsid w:val="0099151E"/>
    <w:rsid w:val="00991844"/>
    <w:rsid w:val="00992F04"/>
    <w:rsid w:val="0099350E"/>
    <w:rsid w:val="00993521"/>
    <w:rsid w:val="009939C7"/>
    <w:rsid w:val="00993AD0"/>
    <w:rsid w:val="00993CBC"/>
    <w:rsid w:val="00993E49"/>
    <w:rsid w:val="00994336"/>
    <w:rsid w:val="00994A2F"/>
    <w:rsid w:val="0099519D"/>
    <w:rsid w:val="00995443"/>
    <w:rsid w:val="0099588B"/>
    <w:rsid w:val="009958DA"/>
    <w:rsid w:val="00995A7B"/>
    <w:rsid w:val="00995B3E"/>
    <w:rsid w:val="00995D71"/>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2CC"/>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7A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1C"/>
    <w:rsid w:val="009C0161"/>
    <w:rsid w:val="009C0229"/>
    <w:rsid w:val="009C022C"/>
    <w:rsid w:val="009C02D2"/>
    <w:rsid w:val="009C0580"/>
    <w:rsid w:val="009C091F"/>
    <w:rsid w:val="009C0CDA"/>
    <w:rsid w:val="009C0FD1"/>
    <w:rsid w:val="009C1145"/>
    <w:rsid w:val="009C17C0"/>
    <w:rsid w:val="009C1BCF"/>
    <w:rsid w:val="009C1C73"/>
    <w:rsid w:val="009C20FF"/>
    <w:rsid w:val="009C2581"/>
    <w:rsid w:val="009C27A2"/>
    <w:rsid w:val="009C2922"/>
    <w:rsid w:val="009C2BAA"/>
    <w:rsid w:val="009C2C9C"/>
    <w:rsid w:val="009C3275"/>
    <w:rsid w:val="009C347A"/>
    <w:rsid w:val="009C35DB"/>
    <w:rsid w:val="009C3DF3"/>
    <w:rsid w:val="009C40B4"/>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60E"/>
    <w:rsid w:val="009E68DE"/>
    <w:rsid w:val="009E698C"/>
    <w:rsid w:val="009E6BF7"/>
    <w:rsid w:val="009E6CD1"/>
    <w:rsid w:val="009E70EB"/>
    <w:rsid w:val="009E7217"/>
    <w:rsid w:val="009E7226"/>
    <w:rsid w:val="009E745A"/>
    <w:rsid w:val="009E76C8"/>
    <w:rsid w:val="009E7B67"/>
    <w:rsid w:val="009F006B"/>
    <w:rsid w:val="009F01A7"/>
    <w:rsid w:val="009F0808"/>
    <w:rsid w:val="009F0925"/>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3F1"/>
    <w:rsid w:val="00A005BE"/>
    <w:rsid w:val="00A00801"/>
    <w:rsid w:val="00A00825"/>
    <w:rsid w:val="00A00B72"/>
    <w:rsid w:val="00A00C25"/>
    <w:rsid w:val="00A00F53"/>
    <w:rsid w:val="00A01512"/>
    <w:rsid w:val="00A01615"/>
    <w:rsid w:val="00A01DEB"/>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604"/>
    <w:rsid w:val="00A07BE2"/>
    <w:rsid w:val="00A07C8C"/>
    <w:rsid w:val="00A07FA8"/>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17A98"/>
    <w:rsid w:val="00A205CD"/>
    <w:rsid w:val="00A20A48"/>
    <w:rsid w:val="00A214EC"/>
    <w:rsid w:val="00A21595"/>
    <w:rsid w:val="00A216D2"/>
    <w:rsid w:val="00A21B54"/>
    <w:rsid w:val="00A21E02"/>
    <w:rsid w:val="00A221F2"/>
    <w:rsid w:val="00A221F7"/>
    <w:rsid w:val="00A2262D"/>
    <w:rsid w:val="00A228FC"/>
    <w:rsid w:val="00A22A47"/>
    <w:rsid w:val="00A22CCE"/>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50B"/>
    <w:rsid w:val="00A32907"/>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36D"/>
    <w:rsid w:val="00A4476B"/>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2E2A"/>
    <w:rsid w:val="00A533BD"/>
    <w:rsid w:val="00A54057"/>
    <w:rsid w:val="00A542D2"/>
    <w:rsid w:val="00A5469D"/>
    <w:rsid w:val="00A54899"/>
    <w:rsid w:val="00A549EB"/>
    <w:rsid w:val="00A54A5C"/>
    <w:rsid w:val="00A54B05"/>
    <w:rsid w:val="00A54CB5"/>
    <w:rsid w:val="00A54D8A"/>
    <w:rsid w:val="00A55033"/>
    <w:rsid w:val="00A552B4"/>
    <w:rsid w:val="00A55D76"/>
    <w:rsid w:val="00A55FDC"/>
    <w:rsid w:val="00A562AE"/>
    <w:rsid w:val="00A56E15"/>
    <w:rsid w:val="00A56FB9"/>
    <w:rsid w:val="00A5701B"/>
    <w:rsid w:val="00A57DF7"/>
    <w:rsid w:val="00A57EA9"/>
    <w:rsid w:val="00A6011C"/>
    <w:rsid w:val="00A60349"/>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D4"/>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1F72"/>
    <w:rsid w:val="00A720D0"/>
    <w:rsid w:val="00A7220D"/>
    <w:rsid w:val="00A7252D"/>
    <w:rsid w:val="00A72E99"/>
    <w:rsid w:val="00A730D1"/>
    <w:rsid w:val="00A73286"/>
    <w:rsid w:val="00A733FC"/>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2C"/>
    <w:rsid w:val="00A77AFF"/>
    <w:rsid w:val="00A77B2A"/>
    <w:rsid w:val="00A77D39"/>
    <w:rsid w:val="00A77F31"/>
    <w:rsid w:val="00A8005A"/>
    <w:rsid w:val="00A80412"/>
    <w:rsid w:val="00A80733"/>
    <w:rsid w:val="00A80793"/>
    <w:rsid w:val="00A80A5D"/>
    <w:rsid w:val="00A80F17"/>
    <w:rsid w:val="00A811C3"/>
    <w:rsid w:val="00A812AC"/>
    <w:rsid w:val="00A81D88"/>
    <w:rsid w:val="00A82088"/>
    <w:rsid w:val="00A82262"/>
    <w:rsid w:val="00A826FD"/>
    <w:rsid w:val="00A8289B"/>
    <w:rsid w:val="00A82B13"/>
    <w:rsid w:val="00A82FE1"/>
    <w:rsid w:val="00A8315B"/>
    <w:rsid w:val="00A83BE4"/>
    <w:rsid w:val="00A83C75"/>
    <w:rsid w:val="00A83CE4"/>
    <w:rsid w:val="00A83EF6"/>
    <w:rsid w:val="00A840D7"/>
    <w:rsid w:val="00A8410E"/>
    <w:rsid w:val="00A84120"/>
    <w:rsid w:val="00A846E3"/>
    <w:rsid w:val="00A84A77"/>
    <w:rsid w:val="00A84C1B"/>
    <w:rsid w:val="00A84DB9"/>
    <w:rsid w:val="00A854CE"/>
    <w:rsid w:val="00A85CBC"/>
    <w:rsid w:val="00A85DAB"/>
    <w:rsid w:val="00A85EF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3E4"/>
    <w:rsid w:val="00A934E6"/>
    <w:rsid w:val="00A9376A"/>
    <w:rsid w:val="00A93D61"/>
    <w:rsid w:val="00A948B7"/>
    <w:rsid w:val="00A94BF4"/>
    <w:rsid w:val="00A94CE1"/>
    <w:rsid w:val="00A95078"/>
    <w:rsid w:val="00A9586D"/>
    <w:rsid w:val="00A958E0"/>
    <w:rsid w:val="00A95A02"/>
    <w:rsid w:val="00A95D03"/>
    <w:rsid w:val="00A962E9"/>
    <w:rsid w:val="00A96543"/>
    <w:rsid w:val="00A96F01"/>
    <w:rsid w:val="00A96FFF"/>
    <w:rsid w:val="00A9739E"/>
    <w:rsid w:val="00A975BD"/>
    <w:rsid w:val="00A976C7"/>
    <w:rsid w:val="00A977C3"/>
    <w:rsid w:val="00A9792B"/>
    <w:rsid w:val="00A97A63"/>
    <w:rsid w:val="00A97E57"/>
    <w:rsid w:val="00AA03B9"/>
    <w:rsid w:val="00AA05E1"/>
    <w:rsid w:val="00AA0664"/>
    <w:rsid w:val="00AA08AB"/>
    <w:rsid w:val="00AA0E79"/>
    <w:rsid w:val="00AA0F36"/>
    <w:rsid w:val="00AA13AA"/>
    <w:rsid w:val="00AA142F"/>
    <w:rsid w:val="00AA1606"/>
    <w:rsid w:val="00AA204D"/>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4C9"/>
    <w:rsid w:val="00AB15A9"/>
    <w:rsid w:val="00AB15CC"/>
    <w:rsid w:val="00AB18C3"/>
    <w:rsid w:val="00AB1D66"/>
    <w:rsid w:val="00AB1ED1"/>
    <w:rsid w:val="00AB257D"/>
    <w:rsid w:val="00AB2E13"/>
    <w:rsid w:val="00AB3221"/>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0163"/>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A88"/>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2B64"/>
    <w:rsid w:val="00AD314A"/>
    <w:rsid w:val="00AD3B68"/>
    <w:rsid w:val="00AD429D"/>
    <w:rsid w:val="00AD48A4"/>
    <w:rsid w:val="00AD4CB3"/>
    <w:rsid w:val="00AD4D87"/>
    <w:rsid w:val="00AD54B3"/>
    <w:rsid w:val="00AD553E"/>
    <w:rsid w:val="00AD5BEA"/>
    <w:rsid w:val="00AD5FC9"/>
    <w:rsid w:val="00AD6BB6"/>
    <w:rsid w:val="00AD6C3C"/>
    <w:rsid w:val="00AD6EF8"/>
    <w:rsid w:val="00AD75A0"/>
    <w:rsid w:val="00AD75C0"/>
    <w:rsid w:val="00AD766C"/>
    <w:rsid w:val="00AD7B87"/>
    <w:rsid w:val="00AE0A08"/>
    <w:rsid w:val="00AE1152"/>
    <w:rsid w:val="00AE140B"/>
    <w:rsid w:val="00AE1462"/>
    <w:rsid w:val="00AE1627"/>
    <w:rsid w:val="00AE1E4B"/>
    <w:rsid w:val="00AE2164"/>
    <w:rsid w:val="00AE2166"/>
    <w:rsid w:val="00AE2E05"/>
    <w:rsid w:val="00AE329D"/>
    <w:rsid w:val="00AE34A1"/>
    <w:rsid w:val="00AE3642"/>
    <w:rsid w:val="00AE376B"/>
    <w:rsid w:val="00AE37CD"/>
    <w:rsid w:val="00AE3E45"/>
    <w:rsid w:val="00AE3F4F"/>
    <w:rsid w:val="00AE4666"/>
    <w:rsid w:val="00AE4A38"/>
    <w:rsid w:val="00AE4B40"/>
    <w:rsid w:val="00AE51AF"/>
    <w:rsid w:val="00AE5FD6"/>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278"/>
    <w:rsid w:val="00AF24EC"/>
    <w:rsid w:val="00AF25E8"/>
    <w:rsid w:val="00AF2893"/>
    <w:rsid w:val="00AF2A87"/>
    <w:rsid w:val="00AF2CAF"/>
    <w:rsid w:val="00AF3665"/>
    <w:rsid w:val="00AF3DFC"/>
    <w:rsid w:val="00AF3EE9"/>
    <w:rsid w:val="00AF4742"/>
    <w:rsid w:val="00AF4881"/>
    <w:rsid w:val="00AF5111"/>
    <w:rsid w:val="00AF52A9"/>
    <w:rsid w:val="00AF5581"/>
    <w:rsid w:val="00AF5DE5"/>
    <w:rsid w:val="00AF6127"/>
    <w:rsid w:val="00AF64CD"/>
    <w:rsid w:val="00AF6553"/>
    <w:rsid w:val="00AF65A6"/>
    <w:rsid w:val="00AF6D09"/>
    <w:rsid w:val="00AF73A8"/>
    <w:rsid w:val="00AF7917"/>
    <w:rsid w:val="00AF798A"/>
    <w:rsid w:val="00AF7C3C"/>
    <w:rsid w:val="00AF7DCE"/>
    <w:rsid w:val="00B00521"/>
    <w:rsid w:val="00B0088E"/>
    <w:rsid w:val="00B00C33"/>
    <w:rsid w:val="00B011C5"/>
    <w:rsid w:val="00B01414"/>
    <w:rsid w:val="00B0163E"/>
    <w:rsid w:val="00B017E4"/>
    <w:rsid w:val="00B019A3"/>
    <w:rsid w:val="00B01EC6"/>
    <w:rsid w:val="00B01ECA"/>
    <w:rsid w:val="00B0211F"/>
    <w:rsid w:val="00B02611"/>
    <w:rsid w:val="00B02700"/>
    <w:rsid w:val="00B028C7"/>
    <w:rsid w:val="00B02CC2"/>
    <w:rsid w:val="00B02CF8"/>
    <w:rsid w:val="00B02DA7"/>
    <w:rsid w:val="00B03832"/>
    <w:rsid w:val="00B0389E"/>
    <w:rsid w:val="00B03B0E"/>
    <w:rsid w:val="00B046BE"/>
    <w:rsid w:val="00B04D7B"/>
    <w:rsid w:val="00B04EAD"/>
    <w:rsid w:val="00B05ACE"/>
    <w:rsid w:val="00B05ED5"/>
    <w:rsid w:val="00B06104"/>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5E0D"/>
    <w:rsid w:val="00B16AFB"/>
    <w:rsid w:val="00B16C6C"/>
    <w:rsid w:val="00B16F75"/>
    <w:rsid w:val="00B173DF"/>
    <w:rsid w:val="00B17698"/>
    <w:rsid w:val="00B17883"/>
    <w:rsid w:val="00B17DED"/>
    <w:rsid w:val="00B17E3D"/>
    <w:rsid w:val="00B20030"/>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CF6"/>
    <w:rsid w:val="00B25F8E"/>
    <w:rsid w:val="00B26367"/>
    <w:rsid w:val="00B2673B"/>
    <w:rsid w:val="00B269C4"/>
    <w:rsid w:val="00B26F54"/>
    <w:rsid w:val="00B26FC7"/>
    <w:rsid w:val="00B2703E"/>
    <w:rsid w:val="00B270EC"/>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731"/>
    <w:rsid w:val="00B35E73"/>
    <w:rsid w:val="00B35F64"/>
    <w:rsid w:val="00B35FE3"/>
    <w:rsid w:val="00B36381"/>
    <w:rsid w:val="00B364BD"/>
    <w:rsid w:val="00B3660B"/>
    <w:rsid w:val="00B367F7"/>
    <w:rsid w:val="00B369A1"/>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1FA"/>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2F9"/>
    <w:rsid w:val="00B61B80"/>
    <w:rsid w:val="00B61C36"/>
    <w:rsid w:val="00B63988"/>
    <w:rsid w:val="00B63AF3"/>
    <w:rsid w:val="00B63B22"/>
    <w:rsid w:val="00B63E8A"/>
    <w:rsid w:val="00B640FD"/>
    <w:rsid w:val="00B645F8"/>
    <w:rsid w:val="00B64CE0"/>
    <w:rsid w:val="00B64E10"/>
    <w:rsid w:val="00B64F60"/>
    <w:rsid w:val="00B64F74"/>
    <w:rsid w:val="00B64FFD"/>
    <w:rsid w:val="00B65222"/>
    <w:rsid w:val="00B652E1"/>
    <w:rsid w:val="00B654CF"/>
    <w:rsid w:val="00B660F0"/>
    <w:rsid w:val="00B66902"/>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0B7"/>
    <w:rsid w:val="00B758FB"/>
    <w:rsid w:val="00B75F99"/>
    <w:rsid w:val="00B76335"/>
    <w:rsid w:val="00B766BB"/>
    <w:rsid w:val="00B76762"/>
    <w:rsid w:val="00B76AB4"/>
    <w:rsid w:val="00B76D5C"/>
    <w:rsid w:val="00B76E39"/>
    <w:rsid w:val="00B77294"/>
    <w:rsid w:val="00B7731F"/>
    <w:rsid w:val="00B776C2"/>
    <w:rsid w:val="00B77A7C"/>
    <w:rsid w:val="00B80574"/>
    <w:rsid w:val="00B807CC"/>
    <w:rsid w:val="00B809C8"/>
    <w:rsid w:val="00B809ED"/>
    <w:rsid w:val="00B80E56"/>
    <w:rsid w:val="00B81DA0"/>
    <w:rsid w:val="00B81F6B"/>
    <w:rsid w:val="00B81F96"/>
    <w:rsid w:val="00B82081"/>
    <w:rsid w:val="00B82472"/>
    <w:rsid w:val="00B827C6"/>
    <w:rsid w:val="00B82D2D"/>
    <w:rsid w:val="00B82E1B"/>
    <w:rsid w:val="00B83442"/>
    <w:rsid w:val="00B8366C"/>
    <w:rsid w:val="00B83C7E"/>
    <w:rsid w:val="00B83F58"/>
    <w:rsid w:val="00B84404"/>
    <w:rsid w:val="00B84648"/>
    <w:rsid w:val="00B848F1"/>
    <w:rsid w:val="00B84943"/>
    <w:rsid w:val="00B84C12"/>
    <w:rsid w:val="00B84E29"/>
    <w:rsid w:val="00B8524E"/>
    <w:rsid w:val="00B85444"/>
    <w:rsid w:val="00B8545D"/>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052"/>
    <w:rsid w:val="00BA14E0"/>
    <w:rsid w:val="00BA1B72"/>
    <w:rsid w:val="00BA2024"/>
    <w:rsid w:val="00BA2287"/>
    <w:rsid w:val="00BA2388"/>
    <w:rsid w:val="00BA272B"/>
    <w:rsid w:val="00BA29A2"/>
    <w:rsid w:val="00BA3476"/>
    <w:rsid w:val="00BA3826"/>
    <w:rsid w:val="00BA3C56"/>
    <w:rsid w:val="00BA403D"/>
    <w:rsid w:val="00BA4613"/>
    <w:rsid w:val="00BA4F77"/>
    <w:rsid w:val="00BA5037"/>
    <w:rsid w:val="00BA5719"/>
    <w:rsid w:val="00BA5C36"/>
    <w:rsid w:val="00BA5F0E"/>
    <w:rsid w:val="00BA6067"/>
    <w:rsid w:val="00BA6726"/>
    <w:rsid w:val="00BA6849"/>
    <w:rsid w:val="00BA6A12"/>
    <w:rsid w:val="00BA7047"/>
    <w:rsid w:val="00BA7335"/>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5FA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BCF"/>
    <w:rsid w:val="00BE0D08"/>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4742"/>
    <w:rsid w:val="00BE51A8"/>
    <w:rsid w:val="00BE5291"/>
    <w:rsid w:val="00BE543A"/>
    <w:rsid w:val="00BE55C7"/>
    <w:rsid w:val="00BE57F1"/>
    <w:rsid w:val="00BE5A23"/>
    <w:rsid w:val="00BE5FAD"/>
    <w:rsid w:val="00BE6069"/>
    <w:rsid w:val="00BE6B51"/>
    <w:rsid w:val="00BE6E94"/>
    <w:rsid w:val="00BE7566"/>
    <w:rsid w:val="00BE7829"/>
    <w:rsid w:val="00BE7DF7"/>
    <w:rsid w:val="00BE7F45"/>
    <w:rsid w:val="00BF052B"/>
    <w:rsid w:val="00BF065A"/>
    <w:rsid w:val="00BF0741"/>
    <w:rsid w:val="00BF07BF"/>
    <w:rsid w:val="00BF0A16"/>
    <w:rsid w:val="00BF0B28"/>
    <w:rsid w:val="00BF0B3E"/>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7ED"/>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207"/>
    <w:rsid w:val="00C12BFC"/>
    <w:rsid w:val="00C12D4A"/>
    <w:rsid w:val="00C13089"/>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A65"/>
    <w:rsid w:val="00C21BB4"/>
    <w:rsid w:val="00C21C0D"/>
    <w:rsid w:val="00C21CDA"/>
    <w:rsid w:val="00C21DFE"/>
    <w:rsid w:val="00C22256"/>
    <w:rsid w:val="00C227B2"/>
    <w:rsid w:val="00C23CF3"/>
    <w:rsid w:val="00C24909"/>
    <w:rsid w:val="00C24D7B"/>
    <w:rsid w:val="00C25062"/>
    <w:rsid w:val="00C25D21"/>
    <w:rsid w:val="00C25D8E"/>
    <w:rsid w:val="00C25DEE"/>
    <w:rsid w:val="00C26075"/>
    <w:rsid w:val="00C26649"/>
    <w:rsid w:val="00C2667D"/>
    <w:rsid w:val="00C27050"/>
    <w:rsid w:val="00C27132"/>
    <w:rsid w:val="00C271DE"/>
    <w:rsid w:val="00C27273"/>
    <w:rsid w:val="00C27505"/>
    <w:rsid w:val="00C27643"/>
    <w:rsid w:val="00C2797B"/>
    <w:rsid w:val="00C27D56"/>
    <w:rsid w:val="00C27DD0"/>
    <w:rsid w:val="00C27E95"/>
    <w:rsid w:val="00C27EC6"/>
    <w:rsid w:val="00C300A6"/>
    <w:rsid w:val="00C3020D"/>
    <w:rsid w:val="00C30265"/>
    <w:rsid w:val="00C303CD"/>
    <w:rsid w:val="00C303E1"/>
    <w:rsid w:val="00C30489"/>
    <w:rsid w:val="00C3081F"/>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EB4"/>
    <w:rsid w:val="00C42FA4"/>
    <w:rsid w:val="00C4333D"/>
    <w:rsid w:val="00C43342"/>
    <w:rsid w:val="00C43502"/>
    <w:rsid w:val="00C438C4"/>
    <w:rsid w:val="00C43CB1"/>
    <w:rsid w:val="00C43EF4"/>
    <w:rsid w:val="00C43F37"/>
    <w:rsid w:val="00C44730"/>
    <w:rsid w:val="00C4479F"/>
    <w:rsid w:val="00C44DAA"/>
    <w:rsid w:val="00C45082"/>
    <w:rsid w:val="00C45453"/>
    <w:rsid w:val="00C45625"/>
    <w:rsid w:val="00C458E9"/>
    <w:rsid w:val="00C460B7"/>
    <w:rsid w:val="00C46887"/>
    <w:rsid w:val="00C46982"/>
    <w:rsid w:val="00C46D47"/>
    <w:rsid w:val="00C4708A"/>
    <w:rsid w:val="00C472EB"/>
    <w:rsid w:val="00C47363"/>
    <w:rsid w:val="00C47954"/>
    <w:rsid w:val="00C5009D"/>
    <w:rsid w:val="00C5068D"/>
    <w:rsid w:val="00C50BEF"/>
    <w:rsid w:val="00C50CA3"/>
    <w:rsid w:val="00C50DC2"/>
    <w:rsid w:val="00C51193"/>
    <w:rsid w:val="00C512C8"/>
    <w:rsid w:val="00C51D5B"/>
    <w:rsid w:val="00C5321E"/>
    <w:rsid w:val="00C53CF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0F5"/>
    <w:rsid w:val="00C6213C"/>
    <w:rsid w:val="00C62EEC"/>
    <w:rsid w:val="00C631DD"/>
    <w:rsid w:val="00C636DC"/>
    <w:rsid w:val="00C63879"/>
    <w:rsid w:val="00C63EA0"/>
    <w:rsid w:val="00C63F6F"/>
    <w:rsid w:val="00C644F7"/>
    <w:rsid w:val="00C64EA5"/>
    <w:rsid w:val="00C64F98"/>
    <w:rsid w:val="00C65244"/>
    <w:rsid w:val="00C652E9"/>
    <w:rsid w:val="00C65B5B"/>
    <w:rsid w:val="00C666C3"/>
    <w:rsid w:val="00C66970"/>
    <w:rsid w:val="00C67240"/>
    <w:rsid w:val="00C67A6F"/>
    <w:rsid w:val="00C67A81"/>
    <w:rsid w:val="00C67F1F"/>
    <w:rsid w:val="00C701A0"/>
    <w:rsid w:val="00C70268"/>
    <w:rsid w:val="00C70419"/>
    <w:rsid w:val="00C70934"/>
    <w:rsid w:val="00C70D8A"/>
    <w:rsid w:val="00C71B27"/>
    <w:rsid w:val="00C71C61"/>
    <w:rsid w:val="00C71D9F"/>
    <w:rsid w:val="00C71FE0"/>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39"/>
    <w:rsid w:val="00C760AC"/>
    <w:rsid w:val="00C76613"/>
    <w:rsid w:val="00C769AF"/>
    <w:rsid w:val="00C76CD9"/>
    <w:rsid w:val="00C76E30"/>
    <w:rsid w:val="00C809F2"/>
    <w:rsid w:val="00C80A10"/>
    <w:rsid w:val="00C80E02"/>
    <w:rsid w:val="00C80E7F"/>
    <w:rsid w:val="00C814EE"/>
    <w:rsid w:val="00C8164C"/>
    <w:rsid w:val="00C818AB"/>
    <w:rsid w:val="00C81F44"/>
    <w:rsid w:val="00C81F6F"/>
    <w:rsid w:val="00C82374"/>
    <w:rsid w:val="00C824D2"/>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4C0B"/>
    <w:rsid w:val="00C952DB"/>
    <w:rsid w:val="00C95985"/>
    <w:rsid w:val="00C96B94"/>
    <w:rsid w:val="00C96E06"/>
    <w:rsid w:val="00C97033"/>
    <w:rsid w:val="00C9719B"/>
    <w:rsid w:val="00C9761A"/>
    <w:rsid w:val="00C97730"/>
    <w:rsid w:val="00C97877"/>
    <w:rsid w:val="00C97A37"/>
    <w:rsid w:val="00C97B39"/>
    <w:rsid w:val="00C97E74"/>
    <w:rsid w:val="00C97F28"/>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87E"/>
    <w:rsid w:val="00CB59A0"/>
    <w:rsid w:val="00CB5EC9"/>
    <w:rsid w:val="00CB60D2"/>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2D84"/>
    <w:rsid w:val="00CC3660"/>
    <w:rsid w:val="00CC3CE9"/>
    <w:rsid w:val="00CC5026"/>
    <w:rsid w:val="00CC5414"/>
    <w:rsid w:val="00CC5488"/>
    <w:rsid w:val="00CC61D8"/>
    <w:rsid w:val="00CC650B"/>
    <w:rsid w:val="00CC6626"/>
    <w:rsid w:val="00CC67B7"/>
    <w:rsid w:val="00CC6992"/>
    <w:rsid w:val="00CC7346"/>
    <w:rsid w:val="00CC74C3"/>
    <w:rsid w:val="00CC75B8"/>
    <w:rsid w:val="00CC7EA2"/>
    <w:rsid w:val="00CD0327"/>
    <w:rsid w:val="00CD0891"/>
    <w:rsid w:val="00CD090C"/>
    <w:rsid w:val="00CD09ED"/>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06"/>
    <w:rsid w:val="00CF2558"/>
    <w:rsid w:val="00CF272F"/>
    <w:rsid w:val="00CF2835"/>
    <w:rsid w:val="00CF30AA"/>
    <w:rsid w:val="00CF30C1"/>
    <w:rsid w:val="00CF3159"/>
    <w:rsid w:val="00CF3266"/>
    <w:rsid w:val="00CF38A5"/>
    <w:rsid w:val="00CF39E4"/>
    <w:rsid w:val="00CF3C25"/>
    <w:rsid w:val="00CF4276"/>
    <w:rsid w:val="00CF44EF"/>
    <w:rsid w:val="00CF4B41"/>
    <w:rsid w:val="00CF50F0"/>
    <w:rsid w:val="00CF53BE"/>
    <w:rsid w:val="00CF55E0"/>
    <w:rsid w:val="00CF5CC0"/>
    <w:rsid w:val="00CF6108"/>
    <w:rsid w:val="00CF6753"/>
    <w:rsid w:val="00CF698E"/>
    <w:rsid w:val="00CF6EC5"/>
    <w:rsid w:val="00CF71D3"/>
    <w:rsid w:val="00CF72C7"/>
    <w:rsid w:val="00CF7E0D"/>
    <w:rsid w:val="00D00A06"/>
    <w:rsid w:val="00D00A48"/>
    <w:rsid w:val="00D00D36"/>
    <w:rsid w:val="00D01193"/>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5E"/>
    <w:rsid w:val="00D104CE"/>
    <w:rsid w:val="00D1080E"/>
    <w:rsid w:val="00D10942"/>
    <w:rsid w:val="00D10AA9"/>
    <w:rsid w:val="00D10DE9"/>
    <w:rsid w:val="00D10EEA"/>
    <w:rsid w:val="00D112B3"/>
    <w:rsid w:val="00D113C5"/>
    <w:rsid w:val="00D11498"/>
    <w:rsid w:val="00D12CCF"/>
    <w:rsid w:val="00D12EFB"/>
    <w:rsid w:val="00D13166"/>
    <w:rsid w:val="00D13231"/>
    <w:rsid w:val="00D135AB"/>
    <w:rsid w:val="00D138D0"/>
    <w:rsid w:val="00D13A7D"/>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6E5"/>
    <w:rsid w:val="00D178DD"/>
    <w:rsid w:val="00D20853"/>
    <w:rsid w:val="00D20ADB"/>
    <w:rsid w:val="00D20E48"/>
    <w:rsid w:val="00D2146F"/>
    <w:rsid w:val="00D22047"/>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652"/>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6F5"/>
    <w:rsid w:val="00D33785"/>
    <w:rsid w:val="00D33BF0"/>
    <w:rsid w:val="00D33CCE"/>
    <w:rsid w:val="00D34177"/>
    <w:rsid w:val="00D348FD"/>
    <w:rsid w:val="00D34C6C"/>
    <w:rsid w:val="00D35060"/>
    <w:rsid w:val="00D3522A"/>
    <w:rsid w:val="00D3525D"/>
    <w:rsid w:val="00D361FE"/>
    <w:rsid w:val="00D3698B"/>
    <w:rsid w:val="00D370FC"/>
    <w:rsid w:val="00D37EEF"/>
    <w:rsid w:val="00D402DD"/>
    <w:rsid w:val="00D403AD"/>
    <w:rsid w:val="00D405BE"/>
    <w:rsid w:val="00D40A07"/>
    <w:rsid w:val="00D40A3C"/>
    <w:rsid w:val="00D41162"/>
    <w:rsid w:val="00D41F95"/>
    <w:rsid w:val="00D426E2"/>
    <w:rsid w:val="00D42798"/>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E0C"/>
    <w:rsid w:val="00D52F2B"/>
    <w:rsid w:val="00D53599"/>
    <w:rsid w:val="00D53720"/>
    <w:rsid w:val="00D5400F"/>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360"/>
    <w:rsid w:val="00D6161F"/>
    <w:rsid w:val="00D61C10"/>
    <w:rsid w:val="00D61FEC"/>
    <w:rsid w:val="00D62440"/>
    <w:rsid w:val="00D624D7"/>
    <w:rsid w:val="00D62FD6"/>
    <w:rsid w:val="00D6302F"/>
    <w:rsid w:val="00D630AC"/>
    <w:rsid w:val="00D630C1"/>
    <w:rsid w:val="00D63134"/>
    <w:rsid w:val="00D63285"/>
    <w:rsid w:val="00D6353B"/>
    <w:rsid w:val="00D63811"/>
    <w:rsid w:val="00D63A06"/>
    <w:rsid w:val="00D63F0A"/>
    <w:rsid w:val="00D6414A"/>
    <w:rsid w:val="00D642CE"/>
    <w:rsid w:val="00D6468F"/>
    <w:rsid w:val="00D64DE0"/>
    <w:rsid w:val="00D657C1"/>
    <w:rsid w:val="00D65AEB"/>
    <w:rsid w:val="00D65B55"/>
    <w:rsid w:val="00D65D40"/>
    <w:rsid w:val="00D65DC2"/>
    <w:rsid w:val="00D65E15"/>
    <w:rsid w:val="00D6603D"/>
    <w:rsid w:val="00D66541"/>
    <w:rsid w:val="00D66677"/>
    <w:rsid w:val="00D66A32"/>
    <w:rsid w:val="00D66ECD"/>
    <w:rsid w:val="00D67161"/>
    <w:rsid w:val="00D6719E"/>
    <w:rsid w:val="00D67558"/>
    <w:rsid w:val="00D678F5"/>
    <w:rsid w:val="00D702BC"/>
    <w:rsid w:val="00D702EC"/>
    <w:rsid w:val="00D70511"/>
    <w:rsid w:val="00D715D6"/>
    <w:rsid w:val="00D7202E"/>
    <w:rsid w:val="00D724C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BC3"/>
    <w:rsid w:val="00D91EBC"/>
    <w:rsid w:val="00D921AF"/>
    <w:rsid w:val="00D92331"/>
    <w:rsid w:val="00D923B3"/>
    <w:rsid w:val="00D923C2"/>
    <w:rsid w:val="00D92A27"/>
    <w:rsid w:val="00D930DE"/>
    <w:rsid w:val="00D93277"/>
    <w:rsid w:val="00D936E5"/>
    <w:rsid w:val="00D93784"/>
    <w:rsid w:val="00D938F8"/>
    <w:rsid w:val="00D93D8B"/>
    <w:rsid w:val="00D93EC2"/>
    <w:rsid w:val="00D94107"/>
    <w:rsid w:val="00D9420C"/>
    <w:rsid w:val="00D94932"/>
    <w:rsid w:val="00D94A5B"/>
    <w:rsid w:val="00D94D06"/>
    <w:rsid w:val="00D95A38"/>
    <w:rsid w:val="00D96B79"/>
    <w:rsid w:val="00D96F29"/>
    <w:rsid w:val="00D9742F"/>
    <w:rsid w:val="00D978A7"/>
    <w:rsid w:val="00DA000A"/>
    <w:rsid w:val="00DA004A"/>
    <w:rsid w:val="00DA0420"/>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57E"/>
    <w:rsid w:val="00DC4A3A"/>
    <w:rsid w:val="00DC4FD6"/>
    <w:rsid w:val="00DC50D0"/>
    <w:rsid w:val="00DC548A"/>
    <w:rsid w:val="00DC565A"/>
    <w:rsid w:val="00DC6233"/>
    <w:rsid w:val="00DC66A9"/>
    <w:rsid w:val="00DC6955"/>
    <w:rsid w:val="00DC6A6A"/>
    <w:rsid w:val="00DC6F48"/>
    <w:rsid w:val="00DC7138"/>
    <w:rsid w:val="00DC73D4"/>
    <w:rsid w:val="00DC77C6"/>
    <w:rsid w:val="00DD03F2"/>
    <w:rsid w:val="00DD0679"/>
    <w:rsid w:val="00DD0874"/>
    <w:rsid w:val="00DD0C95"/>
    <w:rsid w:val="00DD129A"/>
    <w:rsid w:val="00DD167D"/>
    <w:rsid w:val="00DD216B"/>
    <w:rsid w:val="00DD22C5"/>
    <w:rsid w:val="00DD2357"/>
    <w:rsid w:val="00DD241E"/>
    <w:rsid w:val="00DD26D8"/>
    <w:rsid w:val="00DD2B2E"/>
    <w:rsid w:val="00DD2BA6"/>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11"/>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419"/>
    <w:rsid w:val="00DF296E"/>
    <w:rsid w:val="00DF29BF"/>
    <w:rsid w:val="00DF2C46"/>
    <w:rsid w:val="00DF313A"/>
    <w:rsid w:val="00DF3B06"/>
    <w:rsid w:val="00DF3FAA"/>
    <w:rsid w:val="00DF4557"/>
    <w:rsid w:val="00DF4830"/>
    <w:rsid w:val="00DF4E21"/>
    <w:rsid w:val="00DF54E1"/>
    <w:rsid w:val="00DF6437"/>
    <w:rsid w:val="00DF648F"/>
    <w:rsid w:val="00DF674A"/>
    <w:rsid w:val="00DF6838"/>
    <w:rsid w:val="00DF695D"/>
    <w:rsid w:val="00DF6C49"/>
    <w:rsid w:val="00DF6F3D"/>
    <w:rsid w:val="00DF73D7"/>
    <w:rsid w:val="00DF7454"/>
    <w:rsid w:val="00DF755D"/>
    <w:rsid w:val="00DF7A25"/>
    <w:rsid w:val="00DF7C11"/>
    <w:rsid w:val="00DF7C33"/>
    <w:rsid w:val="00DF7E18"/>
    <w:rsid w:val="00DF7F19"/>
    <w:rsid w:val="00E0056D"/>
    <w:rsid w:val="00E00D42"/>
    <w:rsid w:val="00E00D80"/>
    <w:rsid w:val="00E00E2C"/>
    <w:rsid w:val="00E0193F"/>
    <w:rsid w:val="00E01987"/>
    <w:rsid w:val="00E01ACF"/>
    <w:rsid w:val="00E01C45"/>
    <w:rsid w:val="00E01D46"/>
    <w:rsid w:val="00E02286"/>
    <w:rsid w:val="00E02411"/>
    <w:rsid w:val="00E024DC"/>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C97"/>
    <w:rsid w:val="00E07E5F"/>
    <w:rsid w:val="00E07FEC"/>
    <w:rsid w:val="00E10092"/>
    <w:rsid w:val="00E11913"/>
    <w:rsid w:val="00E11986"/>
    <w:rsid w:val="00E123A5"/>
    <w:rsid w:val="00E126D4"/>
    <w:rsid w:val="00E12A47"/>
    <w:rsid w:val="00E12A56"/>
    <w:rsid w:val="00E12D2E"/>
    <w:rsid w:val="00E12DC1"/>
    <w:rsid w:val="00E12ECF"/>
    <w:rsid w:val="00E1323E"/>
    <w:rsid w:val="00E13466"/>
    <w:rsid w:val="00E13960"/>
    <w:rsid w:val="00E139EF"/>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734"/>
    <w:rsid w:val="00E20B5E"/>
    <w:rsid w:val="00E20BE5"/>
    <w:rsid w:val="00E20D8B"/>
    <w:rsid w:val="00E21AA7"/>
    <w:rsid w:val="00E22640"/>
    <w:rsid w:val="00E22F30"/>
    <w:rsid w:val="00E23631"/>
    <w:rsid w:val="00E24CB1"/>
    <w:rsid w:val="00E24D55"/>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80C"/>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83A"/>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0FF5"/>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A0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EF5"/>
    <w:rsid w:val="00E64F4C"/>
    <w:rsid w:val="00E65897"/>
    <w:rsid w:val="00E65AD1"/>
    <w:rsid w:val="00E65FD5"/>
    <w:rsid w:val="00E66044"/>
    <w:rsid w:val="00E66208"/>
    <w:rsid w:val="00E664EF"/>
    <w:rsid w:val="00E667F8"/>
    <w:rsid w:val="00E66BC6"/>
    <w:rsid w:val="00E66C94"/>
    <w:rsid w:val="00E66F23"/>
    <w:rsid w:val="00E6710B"/>
    <w:rsid w:val="00E67259"/>
    <w:rsid w:val="00E67320"/>
    <w:rsid w:val="00E6750E"/>
    <w:rsid w:val="00E67C07"/>
    <w:rsid w:val="00E67C97"/>
    <w:rsid w:val="00E67CBC"/>
    <w:rsid w:val="00E70688"/>
    <w:rsid w:val="00E70B0B"/>
    <w:rsid w:val="00E70C7A"/>
    <w:rsid w:val="00E71700"/>
    <w:rsid w:val="00E71708"/>
    <w:rsid w:val="00E71844"/>
    <w:rsid w:val="00E71C20"/>
    <w:rsid w:val="00E72841"/>
    <w:rsid w:val="00E728AE"/>
    <w:rsid w:val="00E72919"/>
    <w:rsid w:val="00E72C46"/>
    <w:rsid w:val="00E73078"/>
    <w:rsid w:val="00E731FB"/>
    <w:rsid w:val="00E734AE"/>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6DDE"/>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93F"/>
    <w:rsid w:val="00E91A29"/>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68A5"/>
    <w:rsid w:val="00E97081"/>
    <w:rsid w:val="00E97245"/>
    <w:rsid w:val="00E972D9"/>
    <w:rsid w:val="00E97FE7"/>
    <w:rsid w:val="00EA0078"/>
    <w:rsid w:val="00EA063E"/>
    <w:rsid w:val="00EA0781"/>
    <w:rsid w:val="00EA0917"/>
    <w:rsid w:val="00EA12B5"/>
    <w:rsid w:val="00EA14D4"/>
    <w:rsid w:val="00EA14DE"/>
    <w:rsid w:val="00EA1BAC"/>
    <w:rsid w:val="00EA1C64"/>
    <w:rsid w:val="00EA1FC0"/>
    <w:rsid w:val="00EA2670"/>
    <w:rsid w:val="00EA2981"/>
    <w:rsid w:val="00EA2F17"/>
    <w:rsid w:val="00EA2FFB"/>
    <w:rsid w:val="00EA3165"/>
    <w:rsid w:val="00EA3369"/>
    <w:rsid w:val="00EA356D"/>
    <w:rsid w:val="00EA361E"/>
    <w:rsid w:val="00EA36E6"/>
    <w:rsid w:val="00EA38B6"/>
    <w:rsid w:val="00EA390E"/>
    <w:rsid w:val="00EA3D84"/>
    <w:rsid w:val="00EA46F1"/>
    <w:rsid w:val="00EA4A59"/>
    <w:rsid w:val="00EA536B"/>
    <w:rsid w:val="00EA598A"/>
    <w:rsid w:val="00EA5DDC"/>
    <w:rsid w:val="00EA613C"/>
    <w:rsid w:val="00EA631E"/>
    <w:rsid w:val="00EA6E77"/>
    <w:rsid w:val="00EA70B7"/>
    <w:rsid w:val="00EA76B0"/>
    <w:rsid w:val="00EA78DB"/>
    <w:rsid w:val="00EA7FE6"/>
    <w:rsid w:val="00EB056D"/>
    <w:rsid w:val="00EB08DF"/>
    <w:rsid w:val="00EB0A5F"/>
    <w:rsid w:val="00EB0BE0"/>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8E"/>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2D1"/>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470"/>
    <w:rsid w:val="00ED16A1"/>
    <w:rsid w:val="00ED1E6A"/>
    <w:rsid w:val="00ED20E9"/>
    <w:rsid w:val="00ED24B8"/>
    <w:rsid w:val="00ED24C0"/>
    <w:rsid w:val="00ED2A5C"/>
    <w:rsid w:val="00ED2CAA"/>
    <w:rsid w:val="00ED2DA2"/>
    <w:rsid w:val="00ED2E8C"/>
    <w:rsid w:val="00ED2F37"/>
    <w:rsid w:val="00ED3933"/>
    <w:rsid w:val="00ED398A"/>
    <w:rsid w:val="00ED3EDA"/>
    <w:rsid w:val="00ED3EF4"/>
    <w:rsid w:val="00ED3EFD"/>
    <w:rsid w:val="00ED47AE"/>
    <w:rsid w:val="00ED4C04"/>
    <w:rsid w:val="00ED4F1E"/>
    <w:rsid w:val="00ED52FB"/>
    <w:rsid w:val="00ED56EF"/>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0DA6"/>
    <w:rsid w:val="00EE1BFA"/>
    <w:rsid w:val="00EE1F22"/>
    <w:rsid w:val="00EE2148"/>
    <w:rsid w:val="00EE2172"/>
    <w:rsid w:val="00EE21AD"/>
    <w:rsid w:val="00EE313C"/>
    <w:rsid w:val="00EE3196"/>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925"/>
    <w:rsid w:val="00EF3CA6"/>
    <w:rsid w:val="00EF41D6"/>
    <w:rsid w:val="00EF4460"/>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4CF6"/>
    <w:rsid w:val="00F0510E"/>
    <w:rsid w:val="00F05470"/>
    <w:rsid w:val="00F05800"/>
    <w:rsid w:val="00F0584C"/>
    <w:rsid w:val="00F058A6"/>
    <w:rsid w:val="00F05939"/>
    <w:rsid w:val="00F05F73"/>
    <w:rsid w:val="00F05F89"/>
    <w:rsid w:val="00F06396"/>
    <w:rsid w:val="00F06A79"/>
    <w:rsid w:val="00F0713F"/>
    <w:rsid w:val="00F07825"/>
    <w:rsid w:val="00F07BE7"/>
    <w:rsid w:val="00F1010E"/>
    <w:rsid w:val="00F10F9C"/>
    <w:rsid w:val="00F10F9E"/>
    <w:rsid w:val="00F1165B"/>
    <w:rsid w:val="00F11955"/>
    <w:rsid w:val="00F1244C"/>
    <w:rsid w:val="00F12580"/>
    <w:rsid w:val="00F12C4A"/>
    <w:rsid w:val="00F12D76"/>
    <w:rsid w:val="00F12FB1"/>
    <w:rsid w:val="00F13AFA"/>
    <w:rsid w:val="00F13C63"/>
    <w:rsid w:val="00F13E7D"/>
    <w:rsid w:val="00F14741"/>
    <w:rsid w:val="00F14875"/>
    <w:rsid w:val="00F1507F"/>
    <w:rsid w:val="00F153D2"/>
    <w:rsid w:val="00F153FF"/>
    <w:rsid w:val="00F160D8"/>
    <w:rsid w:val="00F16356"/>
    <w:rsid w:val="00F1638A"/>
    <w:rsid w:val="00F168D6"/>
    <w:rsid w:val="00F16CB3"/>
    <w:rsid w:val="00F16EA5"/>
    <w:rsid w:val="00F171C0"/>
    <w:rsid w:val="00F1745A"/>
    <w:rsid w:val="00F174C6"/>
    <w:rsid w:val="00F17A40"/>
    <w:rsid w:val="00F17DBB"/>
    <w:rsid w:val="00F2050D"/>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AF4"/>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B11"/>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57D"/>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7C1"/>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71D"/>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BF6"/>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CB8"/>
    <w:rsid w:val="00F63D3B"/>
    <w:rsid w:val="00F641D5"/>
    <w:rsid w:val="00F64223"/>
    <w:rsid w:val="00F64389"/>
    <w:rsid w:val="00F6445B"/>
    <w:rsid w:val="00F64862"/>
    <w:rsid w:val="00F64872"/>
    <w:rsid w:val="00F648EC"/>
    <w:rsid w:val="00F648F3"/>
    <w:rsid w:val="00F64ADA"/>
    <w:rsid w:val="00F65036"/>
    <w:rsid w:val="00F653D9"/>
    <w:rsid w:val="00F6544E"/>
    <w:rsid w:val="00F657FE"/>
    <w:rsid w:val="00F66013"/>
    <w:rsid w:val="00F6670D"/>
    <w:rsid w:val="00F6688C"/>
    <w:rsid w:val="00F66D81"/>
    <w:rsid w:val="00F66DF2"/>
    <w:rsid w:val="00F6721C"/>
    <w:rsid w:val="00F679E6"/>
    <w:rsid w:val="00F67B5F"/>
    <w:rsid w:val="00F67BE2"/>
    <w:rsid w:val="00F67DDA"/>
    <w:rsid w:val="00F70147"/>
    <w:rsid w:val="00F70399"/>
    <w:rsid w:val="00F703B5"/>
    <w:rsid w:val="00F70A4D"/>
    <w:rsid w:val="00F70B49"/>
    <w:rsid w:val="00F71070"/>
    <w:rsid w:val="00F71118"/>
    <w:rsid w:val="00F71C3E"/>
    <w:rsid w:val="00F71DE9"/>
    <w:rsid w:val="00F72161"/>
    <w:rsid w:val="00F72223"/>
    <w:rsid w:val="00F72BA4"/>
    <w:rsid w:val="00F72E30"/>
    <w:rsid w:val="00F730EB"/>
    <w:rsid w:val="00F7399C"/>
    <w:rsid w:val="00F74305"/>
    <w:rsid w:val="00F7431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594"/>
    <w:rsid w:val="00F81CE9"/>
    <w:rsid w:val="00F825CC"/>
    <w:rsid w:val="00F82694"/>
    <w:rsid w:val="00F826ED"/>
    <w:rsid w:val="00F82D5B"/>
    <w:rsid w:val="00F82F9E"/>
    <w:rsid w:val="00F832E5"/>
    <w:rsid w:val="00F83A90"/>
    <w:rsid w:val="00F84046"/>
    <w:rsid w:val="00F842BF"/>
    <w:rsid w:val="00F84438"/>
    <w:rsid w:val="00F8459E"/>
    <w:rsid w:val="00F84699"/>
    <w:rsid w:val="00F84766"/>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848"/>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69B6"/>
    <w:rsid w:val="00FA70D5"/>
    <w:rsid w:val="00FA739E"/>
    <w:rsid w:val="00FA76F4"/>
    <w:rsid w:val="00FA77BB"/>
    <w:rsid w:val="00FA7822"/>
    <w:rsid w:val="00FA7DCE"/>
    <w:rsid w:val="00FB00CD"/>
    <w:rsid w:val="00FB03F7"/>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29A1"/>
    <w:rsid w:val="00FB38A9"/>
    <w:rsid w:val="00FB3ADB"/>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08"/>
    <w:rsid w:val="00FC3FCD"/>
    <w:rsid w:val="00FC4056"/>
    <w:rsid w:val="00FC4584"/>
    <w:rsid w:val="00FC4F4B"/>
    <w:rsid w:val="00FC551D"/>
    <w:rsid w:val="00FC5574"/>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42D"/>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1C8"/>
    <w:rsid w:val="00FD7289"/>
    <w:rsid w:val="00FD73FB"/>
    <w:rsid w:val="00FD7BD5"/>
    <w:rsid w:val="00FD7C35"/>
    <w:rsid w:val="00FD7CE9"/>
    <w:rsid w:val="00FE0373"/>
    <w:rsid w:val="00FE0638"/>
    <w:rsid w:val="00FE09BD"/>
    <w:rsid w:val="00FE0B61"/>
    <w:rsid w:val="00FE14B6"/>
    <w:rsid w:val="00FE16C9"/>
    <w:rsid w:val="00FE16FF"/>
    <w:rsid w:val="00FE1866"/>
    <w:rsid w:val="00FE1F76"/>
    <w:rsid w:val="00FE2260"/>
    <w:rsid w:val="00FE29BF"/>
    <w:rsid w:val="00FE3984"/>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B2"/>
    <w:rsid w:val="00FF50FF"/>
    <w:rsid w:val="00FF5192"/>
    <w:rsid w:val="00FF559E"/>
    <w:rsid w:val="00FF6015"/>
    <w:rsid w:val="00FF6482"/>
    <w:rsid w:val="00FF68CF"/>
    <w:rsid w:val="00FF6A43"/>
    <w:rsid w:val="00FF7099"/>
    <w:rsid w:val="00FF7186"/>
    <w:rsid w:val="00FF7317"/>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9"/>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10"/>
      </w:numPr>
      <w:ind w:left="1701" w:hanging="1701"/>
    </w:pPr>
  </w:style>
  <w:style w:type="character" w:styleId="PlaceholderText">
    <w:name w:val="Placeholder Text"/>
    <w:basedOn w:val="DefaultParagraphFont"/>
    <w:uiPriority w:val="99"/>
    <w:semiHidden/>
    <w:rsid w:val="00F770F9"/>
    <w:rPr>
      <w:color w:val="808080"/>
    </w:rPr>
  </w:style>
  <w:style w:type="paragraph" w:styleId="TableofFigures">
    <w:name w:val="table of figures"/>
    <w:basedOn w:val="Normal"/>
    <w:next w:val="Normal"/>
    <w:uiPriority w:val="99"/>
    <w:unhideWhenUsed/>
    <w:rsid w:val="00C6213C"/>
    <w:pPr>
      <w:spacing w:after="0"/>
    </w:pPr>
  </w:style>
  <w:style w:type="paragraph" w:customStyle="1" w:styleId="3GPPHeader">
    <w:name w:val="3GPP_Header"/>
    <w:basedOn w:val="Normal"/>
    <w:rsid w:val="0030166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8203815">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7274719">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278113">
      <w:bodyDiv w:val="1"/>
      <w:marLeft w:val="0"/>
      <w:marRight w:val="0"/>
      <w:marTop w:val="0"/>
      <w:marBottom w:val="0"/>
      <w:divBdr>
        <w:top w:val="none" w:sz="0" w:space="0" w:color="auto"/>
        <w:left w:val="none" w:sz="0" w:space="0" w:color="auto"/>
        <w:bottom w:val="none" w:sz="0" w:space="0" w:color="auto"/>
        <w:right w:val="none" w:sz="0" w:space="0" w:color="auto"/>
      </w:divBdr>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371834">
      <w:bodyDiv w:val="1"/>
      <w:marLeft w:val="0"/>
      <w:marRight w:val="0"/>
      <w:marTop w:val="0"/>
      <w:marBottom w:val="0"/>
      <w:divBdr>
        <w:top w:val="none" w:sz="0" w:space="0" w:color="auto"/>
        <w:left w:val="none" w:sz="0" w:space="0" w:color="auto"/>
        <w:bottom w:val="none" w:sz="0" w:space="0" w:color="auto"/>
        <w:right w:val="none" w:sz="0" w:space="0" w:color="auto"/>
      </w:divBdr>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ohdawireless.com/Portals/0/MK5_OBU_10122015.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4" ma:contentTypeDescription="Skapa ett nytt dokument." ma:contentTypeScope="" ma:versionID="19a65ca36e1f5d52e1cd7354f7b5683c">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942df750fbdcb69e1d36904b1eee6a71"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1B73C-4B40-4FC9-9778-ABAC0D6F436C}">
  <ds:schemaRefs>
    <ds:schemaRef ds:uri="http://schemas.microsoft.com/sharepoint/v3/contenttype/forms"/>
  </ds:schemaRefs>
</ds:datastoreItem>
</file>

<file path=customXml/itemProps2.xml><?xml version="1.0" encoding="utf-8"?>
<ds:datastoreItem xmlns:ds="http://schemas.openxmlformats.org/officeDocument/2006/customXml" ds:itemID="{E06D3239-5730-4DDD-A969-7F96CA6291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69D9AF-FE40-470C-842A-6BB5A698F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448F19-C191-4522-B277-935DB206A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2533</Words>
  <Characters>14439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2017-09-25T12:12:00Z</dcterms:created>
  <dcterms:modified xsi:type="dcterms:W3CDTF">2018-04-06T11:13:00Z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_dlc_DocIdItemGuid">
    <vt:lpwstr>6f45b97c-ac67-43dc-927b-599e0b340e3a</vt:lpwstr>
  </property>
  <property fmtid="{D5CDD505-2E9C-101B-9397-08002B2CF9AE}" pid="4" name="EriCOLLCategory">
    <vt:lpwstr>4;#Research|7f1f7aab-c784-40ec-8666-825d2ac7abef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URL">
    <vt:lpwstr/>
  </property>
  <property fmtid="{D5CDD505-2E9C-101B-9397-08002B2CF9AE}" pid="14" name="Comments">
    <vt:lpwstr/>
  </property>
</Properties>
</file>